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CF" w:rsidRPr="00276F28" w:rsidRDefault="005C70CF" w:rsidP="009E35A3">
      <w:pPr>
        <w:spacing w:line="360" w:lineRule="auto"/>
        <w:jc w:val="center"/>
        <w:rPr>
          <w:b/>
          <w:bCs/>
          <w:sz w:val="28"/>
          <w:szCs w:val="28"/>
        </w:rPr>
      </w:pPr>
      <w:r w:rsidRPr="00276F28">
        <w:rPr>
          <w:b/>
          <w:bCs/>
          <w:sz w:val="28"/>
          <w:szCs w:val="28"/>
        </w:rPr>
        <w:t xml:space="preserve">Metodologi Khusus Penafsiran Al-Qur’an dalam kitab Tafsir </w:t>
      </w:r>
    </w:p>
    <w:p w:rsidR="001D65AC" w:rsidRDefault="005C70CF" w:rsidP="009E35A3">
      <w:pPr>
        <w:spacing w:line="360" w:lineRule="auto"/>
        <w:jc w:val="center"/>
        <w:rPr>
          <w:b/>
          <w:bCs/>
        </w:rPr>
      </w:pPr>
      <w:r w:rsidRPr="00276F28">
        <w:rPr>
          <w:b/>
          <w:bCs/>
          <w:sz w:val="28"/>
          <w:szCs w:val="28"/>
        </w:rPr>
        <w:t>Lathaif Al-Isyarat karya Imam Al-Qusyairi</w:t>
      </w:r>
    </w:p>
    <w:p w:rsidR="005C70CF" w:rsidRDefault="005C70CF" w:rsidP="009E35A3">
      <w:pPr>
        <w:spacing w:line="360" w:lineRule="auto"/>
        <w:rPr>
          <w:b/>
          <w:bCs/>
        </w:rPr>
      </w:pPr>
    </w:p>
    <w:p w:rsidR="005C70CF" w:rsidRPr="005C70CF" w:rsidRDefault="005C70CF" w:rsidP="009E35A3">
      <w:pPr>
        <w:spacing w:line="360" w:lineRule="auto"/>
        <w:rPr>
          <w:b/>
          <w:bCs/>
        </w:rPr>
      </w:pPr>
      <w:r w:rsidRPr="005C70CF">
        <w:rPr>
          <w:b/>
          <w:bCs/>
        </w:rPr>
        <w:t>Siti Madinatul Munawwaroh</w:t>
      </w:r>
    </w:p>
    <w:p w:rsidR="005C70CF" w:rsidRDefault="005C70CF" w:rsidP="009E35A3">
      <w:pPr>
        <w:spacing w:line="360" w:lineRule="auto"/>
      </w:pPr>
      <w:r>
        <w:t>NIM 2190070024 Prodi Ilmu Al-Qur’an dan Tafsir UIN Sunan Gunung Djati</w:t>
      </w:r>
    </w:p>
    <w:p w:rsidR="005C70CF" w:rsidRDefault="005C70CF" w:rsidP="009E35A3">
      <w:pPr>
        <w:spacing w:line="360" w:lineRule="auto"/>
      </w:pPr>
      <w:r>
        <w:t>Email: madinaelfaqih@gmail.com</w:t>
      </w:r>
    </w:p>
    <w:p w:rsidR="005C70CF" w:rsidRPr="005C70CF" w:rsidRDefault="005C70CF" w:rsidP="009E35A3">
      <w:pPr>
        <w:spacing w:line="360" w:lineRule="auto"/>
        <w:rPr>
          <w:b/>
          <w:bCs/>
        </w:rPr>
      </w:pPr>
      <w:r w:rsidRPr="005C70CF">
        <w:rPr>
          <w:b/>
          <w:bCs/>
        </w:rPr>
        <w:t>Nida Amalia Kamal</w:t>
      </w:r>
    </w:p>
    <w:p w:rsidR="005C70CF" w:rsidRDefault="005C70CF" w:rsidP="009E35A3">
      <w:pPr>
        <w:spacing w:line="360" w:lineRule="auto"/>
      </w:pPr>
      <w:r>
        <w:t>NIM 2190070020 Prodi Ilmu Al-Qur’an dan Tafsir UIN Sunan Gunung Djati</w:t>
      </w:r>
    </w:p>
    <w:p w:rsidR="005C70CF" w:rsidRDefault="005C70CF" w:rsidP="009E35A3">
      <w:pPr>
        <w:spacing w:line="360" w:lineRule="auto"/>
      </w:pPr>
      <w:r>
        <w:t>Email: nidaamaliakamal688@gmail.com</w:t>
      </w:r>
    </w:p>
    <w:p w:rsidR="005C70CF" w:rsidRDefault="005C70CF" w:rsidP="009E35A3">
      <w:pPr>
        <w:spacing w:line="360" w:lineRule="auto"/>
      </w:pPr>
    </w:p>
    <w:p w:rsidR="005C70CF" w:rsidRPr="00281DB9" w:rsidRDefault="005C70CF" w:rsidP="009E35A3">
      <w:pPr>
        <w:spacing w:line="360" w:lineRule="auto"/>
        <w:jc w:val="both"/>
      </w:pPr>
      <w:r w:rsidRPr="005C70CF">
        <w:rPr>
          <w:b/>
          <w:bCs/>
        </w:rPr>
        <w:t xml:space="preserve">Abstrak: </w:t>
      </w:r>
      <w:r w:rsidR="00BA43FC">
        <w:t>Al-Qur’an sebagai mukjizat diinterpretasikan oleh para mufassir dengan berb</w:t>
      </w:r>
      <w:r w:rsidR="009800AF">
        <w:t xml:space="preserve">agai metode, disamping metode umum terdapat metode khusus yang digunakan setiap mufassir dalam penafsirannya. </w:t>
      </w:r>
      <w:r w:rsidR="004F3E05">
        <w:t xml:space="preserve">Penelitian ini bertujuan untuk mengkaji tafsir </w:t>
      </w:r>
      <w:r w:rsidR="004F3E05">
        <w:rPr>
          <w:i/>
          <w:iCs/>
        </w:rPr>
        <w:t xml:space="preserve">Lathaif Al-Isyarat </w:t>
      </w:r>
      <w:r w:rsidR="004F3E05">
        <w:t xml:space="preserve">karya </w:t>
      </w:r>
      <w:r w:rsidR="009800AF" w:rsidRPr="004F3E05">
        <w:t>Al</w:t>
      </w:r>
      <w:r w:rsidR="009800AF">
        <w:t>-Qusyairi</w:t>
      </w:r>
      <w:r w:rsidR="004F3E05">
        <w:t xml:space="preserve"> dan metode khusus yang digunakannya dalam penafsiran. Dari hasil penelitian bahwa Al-Qusyairi</w:t>
      </w:r>
      <w:r w:rsidR="009800AF">
        <w:t xml:space="preserve"> </w:t>
      </w:r>
      <w:r w:rsidR="004F3E05">
        <w:t>merupakan seorang sufi yang</w:t>
      </w:r>
      <w:r w:rsidR="009800AF">
        <w:t xml:space="preserve"> </w:t>
      </w:r>
      <w:r w:rsidR="002778D6">
        <w:t>berusaha untuk menafsirkan ayat Al-Qur’an dengan aplikasi konsep tasawuf</w:t>
      </w:r>
      <w:r w:rsidR="004F3E05">
        <w:t xml:space="preserve">, dengan bahasa sastra yang ekspresif yang membawa pembaca memasuki rasa jiwa sufistik. </w:t>
      </w:r>
      <w:r w:rsidR="00281DB9">
        <w:t>Tafsir sufi</w:t>
      </w:r>
      <w:r w:rsidR="00D82915">
        <w:t xml:space="preserve"> ini</w:t>
      </w:r>
      <w:r w:rsidR="00281DB9">
        <w:t xml:space="preserve"> merupakan interpretasi ayat Al-Qur’an berdasarkan hasil pengalaman spiritual mufassir. </w:t>
      </w:r>
      <w:r w:rsidR="00BA43FC">
        <w:t>Mufassir menyajikan penafsirannya sesuai jiwa sufistik agar pembaca terbawa pada cahaya ilahi dalam jiwa mufassir.</w:t>
      </w:r>
      <w:r w:rsidR="00D82915">
        <w:t xml:space="preserve"> </w:t>
      </w:r>
      <w:r w:rsidR="004F3FB3">
        <w:t>Al-Qusyairi memiliki metode khusus dari kitab tafsir sufi lainnya,</w:t>
      </w:r>
      <w:r w:rsidR="00E455FC">
        <w:t xml:space="preserve"> yaitu bayani isyari mujaz,</w:t>
      </w:r>
      <w:r w:rsidR="005B75E3">
        <w:t xml:space="preserve"> </w:t>
      </w:r>
      <w:r w:rsidR="004F3FB3">
        <w:t>penafsiran ayatnya</w:t>
      </w:r>
      <w:r w:rsidR="0001277E">
        <w:t xml:space="preserve"> sepenuhnya menggunakan</w:t>
      </w:r>
      <w:r w:rsidR="004F3FB3">
        <w:t xml:space="preserve"> isyari, sedangkan kitab sufi lain mem</w:t>
      </w:r>
      <w:r w:rsidR="005B75E3">
        <w:t>adukan antara isyari dan bahasa, ia memadukan antara akal dan jiwa dan penafsirannya ditulis ringkas dan jelas.</w:t>
      </w:r>
    </w:p>
    <w:p w:rsidR="005C70CF" w:rsidRPr="00466F65" w:rsidRDefault="005C70CF" w:rsidP="009E35A3">
      <w:pPr>
        <w:spacing w:line="360" w:lineRule="auto"/>
      </w:pPr>
      <w:r>
        <w:rPr>
          <w:b/>
          <w:bCs/>
        </w:rPr>
        <w:t xml:space="preserve">Kata Kunci: </w:t>
      </w:r>
      <w:r w:rsidR="00466F65">
        <w:t xml:space="preserve">1; Sufi 2; </w:t>
      </w:r>
      <w:r w:rsidR="002778D6">
        <w:t>Interpretasi 3; Spiritual</w:t>
      </w:r>
    </w:p>
    <w:p w:rsidR="00276F28" w:rsidRPr="00276F28" w:rsidRDefault="00276F28" w:rsidP="009E35A3">
      <w:pPr>
        <w:pStyle w:val="ListParagraph"/>
        <w:numPr>
          <w:ilvl w:val="0"/>
          <w:numId w:val="1"/>
        </w:numPr>
        <w:spacing w:after="0" w:line="360" w:lineRule="auto"/>
        <w:ind w:left="360"/>
        <w:rPr>
          <w:b/>
          <w:bCs/>
        </w:rPr>
      </w:pPr>
      <w:r w:rsidRPr="00276F28">
        <w:rPr>
          <w:b/>
          <w:bCs/>
        </w:rPr>
        <w:t>Pendahuluan</w:t>
      </w:r>
    </w:p>
    <w:p w:rsidR="00276F28" w:rsidRDefault="00276F28" w:rsidP="009E35A3">
      <w:pPr>
        <w:spacing w:after="0" w:line="360" w:lineRule="auto"/>
        <w:ind w:firstLine="720"/>
        <w:jc w:val="both"/>
      </w:pPr>
      <w:r>
        <w:t xml:space="preserve">Turunnya Al-Qur’an sebagai mukjizat dengan keragaman ayat-ayatnya memicu para ahli untuk menafsirkan ayat dan menghasilkan makna dan maksud yang terkandung didalamnya. Sehingga berbagai karya tafsir dihasilkan dengan berbagai perbedaan dalam </w:t>
      </w:r>
      <w:r>
        <w:lastRenderedPageBreak/>
        <w:t>sistem penafsirannya. Perbedaan metode penafsiran ini terkait dengan kemampuan dan keilmuan setiap mufassirnya. Disamping itu, hasil pemahaman ayat Al-Qur’an juga menjadi variatif dengan dihasilkannya beberapa makna sesuai perspektif mufassir tersebut.</w:t>
      </w:r>
    </w:p>
    <w:p w:rsidR="002D201A" w:rsidRDefault="00276F28" w:rsidP="009E35A3">
      <w:pPr>
        <w:spacing w:after="0" w:line="360" w:lineRule="auto"/>
        <w:ind w:firstLine="720"/>
        <w:jc w:val="both"/>
      </w:pPr>
      <w:r>
        <w:t>Dalam suatu penafsiran, sosok mufassir mem</w:t>
      </w:r>
      <w:r w:rsidR="00BE231C">
        <w:t>iliki pengaruh yang besar, sebagaimana kecenderungan gerakan sufi akan menghasilkan penafsiran ayat Al-Qur’an dengan corak sufi isyari</w:t>
      </w:r>
      <w:r w:rsidR="006A5348">
        <w:t xml:space="preserve">. Diantara tafsir corak isyari yang sudah dihasilkan seperti tafsir karya Sahal Al-Tustari yang ditulis tangan, kemudian tafsir isyari lainnya karya Al-Alusi, Ibnu Arabi, hingga tafsir karya Al-Qusyairi ini. </w:t>
      </w:r>
    </w:p>
    <w:p w:rsidR="004740CB" w:rsidRDefault="006A5348" w:rsidP="009E35A3">
      <w:pPr>
        <w:spacing w:after="0" w:line="360" w:lineRule="auto"/>
        <w:ind w:firstLine="720"/>
        <w:jc w:val="both"/>
      </w:pPr>
      <w:r>
        <w:t>Tafsir sufi memiliki nilai yang khas dari corak tafsir lainnya, karena karena ia berupaya untuk menjelaskan makna ayat dengan nilai makrifat.</w:t>
      </w:r>
      <w:r w:rsidR="002D201A">
        <w:t xml:space="preserve"> </w:t>
      </w:r>
      <w:r w:rsidR="004740CB">
        <w:t xml:space="preserve">Dalam islam, tasawuf dipandang sebagai hal menarik untuk dikaji. Tujuan tasawuf tak lain untuk sampai ke Allah SWT. Dalam kajian tasawuf terdapat konsep maqamat, dengan usaha para sufi berkaitan dengan konsep ini, akhirnya terwujudlah karya tafsir </w:t>
      </w:r>
      <w:r w:rsidR="002D201A">
        <w:t>bercorak sufi.</w:t>
      </w:r>
    </w:p>
    <w:p w:rsidR="002D161C" w:rsidRDefault="002D161C" w:rsidP="009E35A3">
      <w:pPr>
        <w:spacing w:line="360" w:lineRule="auto"/>
        <w:ind w:firstLine="720"/>
        <w:jc w:val="both"/>
      </w:pPr>
      <w:r>
        <w:t xml:space="preserve">Dalam penafsiran Al-Qur’an, disamping berbagai metode umum yang digunakan, para mufassir pun memiliki kekhususan tersendiri dalam penafsirannya, termasuk dalam menafsirkan ayat dengan tafsir sufi ini. Dalam perhatian pengkaji, tafsir sufi memang kurang menjadi sorotan, namun ia memiliki khas yang mana hal ini menjadi acuan penulis untuk mengkaji lebih dalam </w:t>
      </w:r>
      <w:r w:rsidR="00D33E31">
        <w:t xml:space="preserve">mengenai metode penafsiran dalam tafsir sufi isyari </w:t>
      </w:r>
      <w:r w:rsidR="00BE60DA">
        <w:t xml:space="preserve">karya </w:t>
      </w:r>
      <w:r w:rsidR="00D33E31">
        <w:t>Al-Qusyairi</w:t>
      </w:r>
      <w:r w:rsidR="00BE60DA">
        <w:t>.</w:t>
      </w:r>
      <w:r w:rsidR="00840151">
        <w:rPr>
          <w:rStyle w:val="FootnoteReference"/>
        </w:rPr>
        <w:footnoteReference w:id="1"/>
      </w:r>
    </w:p>
    <w:p w:rsidR="00F448A6" w:rsidRDefault="00F448A6" w:rsidP="009E35A3">
      <w:pPr>
        <w:pStyle w:val="ListParagraph"/>
        <w:numPr>
          <w:ilvl w:val="0"/>
          <w:numId w:val="1"/>
        </w:numPr>
        <w:spacing w:line="360" w:lineRule="auto"/>
        <w:ind w:left="360"/>
        <w:jc w:val="both"/>
        <w:rPr>
          <w:b/>
          <w:bCs/>
        </w:rPr>
      </w:pPr>
      <w:r>
        <w:rPr>
          <w:b/>
          <w:bCs/>
        </w:rPr>
        <w:t>Hasil Penelitian</w:t>
      </w:r>
    </w:p>
    <w:p w:rsidR="00F448A6" w:rsidRDefault="006050E7" w:rsidP="009E35A3">
      <w:pPr>
        <w:pStyle w:val="ListParagraph"/>
        <w:numPr>
          <w:ilvl w:val="1"/>
          <w:numId w:val="1"/>
        </w:numPr>
        <w:spacing w:after="0" w:line="360" w:lineRule="auto"/>
        <w:jc w:val="both"/>
        <w:rPr>
          <w:b/>
          <w:bCs/>
          <w:i/>
          <w:iCs/>
        </w:rPr>
      </w:pPr>
      <w:r>
        <w:rPr>
          <w:b/>
          <w:bCs/>
          <w:i/>
          <w:iCs/>
        </w:rPr>
        <w:t>Pengertian Tafsir Sufi Isyari</w:t>
      </w:r>
    </w:p>
    <w:p w:rsidR="00F448A6" w:rsidRPr="00102344" w:rsidRDefault="006050E7" w:rsidP="009E35A3">
      <w:pPr>
        <w:spacing w:after="0" w:line="360" w:lineRule="auto"/>
        <w:ind w:firstLine="720"/>
        <w:jc w:val="both"/>
      </w:pPr>
      <w:r>
        <w:t xml:space="preserve">Metode penafsiran secara umum terbagi kepada tafsir </w:t>
      </w:r>
      <w:r>
        <w:rPr>
          <w:i/>
          <w:iCs/>
        </w:rPr>
        <w:t>bi al-ma’tsur</w:t>
      </w:r>
      <w:r>
        <w:t xml:space="preserve"> dan tafsir </w:t>
      </w:r>
      <w:r>
        <w:rPr>
          <w:i/>
          <w:iCs/>
        </w:rPr>
        <w:t>bi al-ra’yi</w:t>
      </w:r>
      <w:r>
        <w:t>.</w:t>
      </w:r>
      <w:r>
        <w:rPr>
          <w:rStyle w:val="FootnoteReference"/>
        </w:rPr>
        <w:footnoteReference w:id="2"/>
      </w:r>
      <w:r w:rsidR="00102344">
        <w:t xml:space="preserve"> Dalam penafsirannya, para ulama melakukan pendekatan yang beragam, salah satunya ulama tafsir yang memiliki kecenderungan dalam bidang tasawuf, memaknai ayat  Al-Qur’an dengan tafsir isyari. Penafsiran ini merupakan hasil dari </w:t>
      </w:r>
      <w:r w:rsidR="00102344">
        <w:rPr>
          <w:i/>
          <w:iCs/>
        </w:rPr>
        <w:t>mukasyafah</w:t>
      </w:r>
      <w:r w:rsidR="00102344">
        <w:t xml:space="preserve"> </w:t>
      </w:r>
      <w:r w:rsidR="00AA0D91">
        <w:t xml:space="preserve">atau penyingkapan </w:t>
      </w:r>
      <w:r w:rsidR="00102344">
        <w:t>mufassirnya.</w:t>
      </w:r>
      <w:r w:rsidR="00102344">
        <w:rPr>
          <w:rStyle w:val="FootnoteReference"/>
        </w:rPr>
        <w:footnoteReference w:id="3"/>
      </w:r>
    </w:p>
    <w:p w:rsidR="00F448A6" w:rsidRDefault="00FD6DC1" w:rsidP="009E35A3">
      <w:pPr>
        <w:spacing w:after="0" w:line="360" w:lineRule="auto"/>
        <w:jc w:val="both"/>
        <w:rPr>
          <w:lang w:bidi="ar-AE"/>
        </w:rPr>
      </w:pPr>
      <w:r>
        <w:rPr>
          <w:b/>
          <w:bCs/>
          <w:i/>
          <w:iCs/>
        </w:rPr>
        <w:tab/>
      </w:r>
      <w:r>
        <w:t xml:space="preserve">Dilihat dari segi bahasa, isyari berasal dari kata </w:t>
      </w:r>
      <w:r w:rsidRPr="00FD6DC1">
        <w:rPr>
          <w:rFonts w:ascii="Traditional Arabic" w:hAnsi="Traditional Arabic" w:cs="Traditional Arabic"/>
          <w:sz w:val="28"/>
          <w:szCs w:val="28"/>
          <w:rtl/>
          <w:lang w:bidi="ar-AE"/>
        </w:rPr>
        <w:t>أَشَارَ-يُشِيْرُ-إِشَارَةٌ</w:t>
      </w:r>
      <w:r>
        <w:rPr>
          <w:rFonts w:ascii="Traditional Arabic" w:hAnsi="Traditional Arabic" w:cs="Traditional Arabic"/>
          <w:sz w:val="28"/>
          <w:szCs w:val="28"/>
          <w:lang w:bidi="ar-AE"/>
        </w:rPr>
        <w:t xml:space="preserve"> </w:t>
      </w:r>
      <w:r w:rsidRPr="00FD6DC1">
        <w:rPr>
          <w:lang w:bidi="ar-AE"/>
        </w:rPr>
        <w:t>yang berarti tanda atau petunjuk.</w:t>
      </w:r>
      <w:r w:rsidR="00AA0D91">
        <w:rPr>
          <w:lang w:bidi="ar-AE"/>
        </w:rPr>
        <w:t xml:space="preserve"> Isyari ini merupakan hasil dari seorang sufi. Tafsir isyari juga berarti penjelasan </w:t>
      </w:r>
      <w:r w:rsidR="00AA0D91">
        <w:rPr>
          <w:lang w:bidi="ar-AE"/>
        </w:rPr>
        <w:lastRenderedPageBreak/>
        <w:t xml:space="preserve">makna ayat dengan mengungkap hal dibalik ayat melalui ilham yang merupakan pemberian Allah pada para sufi, tanpa meniadakan perhatiannya pada makna ayat yang dzahir. Sedangkan menurut Ad-dzahabi tafsir </w:t>
      </w:r>
      <w:r w:rsidR="00AA0D91">
        <w:rPr>
          <w:i/>
          <w:iCs/>
          <w:lang w:bidi="ar-AE"/>
        </w:rPr>
        <w:t>bil isyarat</w:t>
      </w:r>
      <w:r w:rsidR="00AA0D91">
        <w:rPr>
          <w:lang w:bidi="ar-AE"/>
        </w:rPr>
        <w:t xml:space="preserve"> adalah penafsiran ayat hasil seorang sufi </w:t>
      </w:r>
      <w:r w:rsidR="00281DB9">
        <w:rPr>
          <w:lang w:bidi="ar-AE"/>
        </w:rPr>
        <w:t>atas pengalaman spiritual</w:t>
      </w:r>
      <w:r w:rsidR="00A4783E">
        <w:rPr>
          <w:lang w:bidi="ar-AE"/>
        </w:rPr>
        <w:t xml:space="preserve"> yang tertuju</w:t>
      </w:r>
      <w:r w:rsidR="00AA0D91">
        <w:rPr>
          <w:i/>
          <w:iCs/>
          <w:lang w:bidi="ar-AE"/>
        </w:rPr>
        <w:t xml:space="preserve"> </w:t>
      </w:r>
      <w:r w:rsidR="00AA0D91">
        <w:rPr>
          <w:lang w:bidi="ar-AE"/>
        </w:rPr>
        <w:t>kepada Allah sehingga ia bisa mengungkap rahasia makna ayat dengan i</w:t>
      </w:r>
      <w:r w:rsidR="00281DB9">
        <w:rPr>
          <w:lang w:bidi="ar-AE"/>
        </w:rPr>
        <w:t xml:space="preserve">syarat yang tersirat di </w:t>
      </w:r>
      <w:r w:rsidR="006F152F">
        <w:rPr>
          <w:lang w:bidi="ar-AE"/>
        </w:rPr>
        <w:t xml:space="preserve">hatinya, yang diungkapkan dengan kehalusan bahasa yang ekspresif. </w:t>
      </w:r>
      <w:r w:rsidR="00AA0D91">
        <w:rPr>
          <w:rStyle w:val="FootnoteReference"/>
          <w:lang w:bidi="ar-AE"/>
        </w:rPr>
        <w:footnoteReference w:id="4"/>
      </w:r>
    </w:p>
    <w:p w:rsidR="000B0F3F" w:rsidRDefault="000B0F3F" w:rsidP="009E35A3">
      <w:pPr>
        <w:spacing w:after="0" w:line="360" w:lineRule="auto"/>
        <w:jc w:val="both"/>
        <w:rPr>
          <w:lang w:bidi="ar-AE"/>
        </w:rPr>
      </w:pPr>
      <w:r>
        <w:rPr>
          <w:lang w:bidi="ar-AE"/>
        </w:rPr>
        <w:tab/>
        <w:t>Tafsir sufi ditulis dengan dua langkah, yaitu didahului dengan pemikiran yang abstrak</w:t>
      </w:r>
      <w:r w:rsidR="00BF0767">
        <w:rPr>
          <w:lang w:bidi="ar-AE"/>
        </w:rPr>
        <w:t xml:space="preserve"> yang bersifat</w:t>
      </w:r>
      <w:r>
        <w:rPr>
          <w:lang w:bidi="ar-AE"/>
        </w:rPr>
        <w:t xml:space="preserve"> imajinasi, lalu pemikiran itu ditulis dari hal abstrak menjadi hal yang konkrit.</w:t>
      </w:r>
      <w:r>
        <w:rPr>
          <w:rStyle w:val="FootnoteReference"/>
          <w:lang w:bidi="ar-AE"/>
        </w:rPr>
        <w:footnoteReference w:id="5"/>
      </w:r>
      <w:r>
        <w:rPr>
          <w:lang w:bidi="ar-AE"/>
        </w:rPr>
        <w:t xml:space="preserve"> </w:t>
      </w:r>
      <w:r w:rsidR="00007DB4">
        <w:rPr>
          <w:lang w:bidi="ar-AE"/>
        </w:rPr>
        <w:t xml:space="preserve">Atau dalam bahasa lain yaitu diawali dengan nalar dan pikiran rasional, selanjutnya dengan intuisi secara langsung salah satunya yaitu dengan </w:t>
      </w:r>
      <w:r w:rsidR="00007DB4" w:rsidRPr="00ED4904">
        <w:rPr>
          <w:rFonts w:ascii="Traditional Arabic" w:hAnsi="Traditional Arabic" w:cs="Traditional Arabic"/>
          <w:sz w:val="28"/>
          <w:szCs w:val="28"/>
          <w:rtl/>
          <w:lang w:bidi="ar-AE"/>
        </w:rPr>
        <w:t>مُكَاشَفَة</w:t>
      </w:r>
      <w:r w:rsidR="00007DB4">
        <w:rPr>
          <w:lang w:bidi="ar-AE"/>
        </w:rPr>
        <w:t xml:space="preserve"> yaitu ilmu dari ilham yang diberikan Allah ke dalam hati sufi.</w:t>
      </w:r>
    </w:p>
    <w:p w:rsidR="00CC2ADD" w:rsidRDefault="00CC2ADD" w:rsidP="009E35A3">
      <w:pPr>
        <w:spacing w:line="360" w:lineRule="auto"/>
        <w:jc w:val="both"/>
        <w:rPr>
          <w:lang w:bidi="ar-AE"/>
        </w:rPr>
      </w:pPr>
      <w:r>
        <w:rPr>
          <w:lang w:bidi="ar-AE"/>
        </w:rPr>
        <w:tab/>
      </w:r>
      <w:r w:rsidR="00ED4904">
        <w:rPr>
          <w:lang w:bidi="ar-AE"/>
        </w:rPr>
        <w:t xml:space="preserve">Dalam kitab </w:t>
      </w:r>
      <w:r w:rsidR="00ED4904" w:rsidRPr="00ED4904">
        <w:rPr>
          <w:i/>
          <w:iCs/>
          <w:lang w:bidi="ar-AE"/>
        </w:rPr>
        <w:t>mabahits fi ‘ulum Al-Qur’an</w:t>
      </w:r>
      <w:r w:rsidR="00ED4904">
        <w:rPr>
          <w:lang w:bidi="ar-AE"/>
        </w:rPr>
        <w:t>, tafsir sufi terbagi kepada dua bagian, yaitu:</w:t>
      </w:r>
    </w:p>
    <w:p w:rsidR="00ED4904" w:rsidRPr="008C5AB1" w:rsidRDefault="00ED4904" w:rsidP="009E35A3">
      <w:pPr>
        <w:pStyle w:val="ListParagraph"/>
        <w:numPr>
          <w:ilvl w:val="0"/>
          <w:numId w:val="2"/>
        </w:numPr>
        <w:spacing w:line="360" w:lineRule="auto"/>
        <w:jc w:val="both"/>
        <w:rPr>
          <w:lang w:bidi="ar-AE"/>
        </w:rPr>
      </w:pPr>
      <w:r w:rsidRPr="00ED4904">
        <w:rPr>
          <w:rFonts w:ascii="Traditional Arabic" w:hAnsi="Traditional Arabic" w:cs="Traditional Arabic"/>
          <w:sz w:val="28"/>
          <w:szCs w:val="28"/>
          <w:rtl/>
          <w:lang w:bidi="ar-AE"/>
        </w:rPr>
        <w:t>التفسير الإشاري النظري</w:t>
      </w:r>
      <w:r w:rsidR="008C5AB1">
        <w:rPr>
          <w:rFonts w:ascii="Traditional Arabic" w:hAnsi="Traditional Arabic" w:cs="Traditional Arabic"/>
          <w:sz w:val="28"/>
          <w:szCs w:val="28"/>
          <w:lang w:bidi="ar-AE"/>
        </w:rPr>
        <w:t xml:space="preserve"> </w:t>
      </w:r>
      <w:r w:rsidR="008C5AB1" w:rsidRPr="008C5AB1">
        <w:rPr>
          <w:lang w:bidi="ar-AE"/>
        </w:rPr>
        <w:t>tafsir ini dihasilkan oleh para sufi yang bersandar pada teori filsafat, jenis tafsir ini menarik makna dzahir ke bathinnya, sehingga hasilnya keluar dari makna dzahir. Salah satu tokohnya yaitu Ibnu Arabi yang diikuti juga oleh muridnya. Penafsiran ini dihubungkan dengan filsafat yang akhirnya melahirkan penafsiran yang tidak masuk akal. Teori ini diterapkan dalam berbagai karya Ibnu Arabi.</w:t>
      </w:r>
    </w:p>
    <w:p w:rsidR="00ED4904" w:rsidRPr="00412573" w:rsidRDefault="00ED4904" w:rsidP="009E35A3">
      <w:pPr>
        <w:pStyle w:val="ListParagraph"/>
        <w:numPr>
          <w:ilvl w:val="0"/>
          <w:numId w:val="2"/>
        </w:numPr>
        <w:spacing w:line="360" w:lineRule="auto"/>
        <w:jc w:val="both"/>
        <w:rPr>
          <w:rFonts w:ascii="Traditional Arabic" w:hAnsi="Traditional Arabic" w:cs="Traditional Arabic"/>
          <w:sz w:val="28"/>
          <w:szCs w:val="28"/>
          <w:lang w:bidi="ar-AE"/>
        </w:rPr>
      </w:pPr>
      <w:r w:rsidRPr="00ED4904">
        <w:rPr>
          <w:rFonts w:ascii="Traditional Arabic" w:hAnsi="Traditional Arabic" w:cs="Traditional Arabic"/>
          <w:sz w:val="28"/>
          <w:szCs w:val="28"/>
          <w:rtl/>
          <w:lang w:bidi="ar-AE"/>
        </w:rPr>
        <w:t>التفسير الإشاري الأخلاقي</w:t>
      </w:r>
      <w:r w:rsidR="00530451">
        <w:rPr>
          <w:rFonts w:ascii="Traditional Arabic" w:hAnsi="Traditional Arabic" w:cs="Traditional Arabic"/>
          <w:sz w:val="28"/>
          <w:szCs w:val="28"/>
          <w:lang w:bidi="ar-AE"/>
        </w:rPr>
        <w:t xml:space="preserve"> </w:t>
      </w:r>
      <w:r w:rsidR="00530451" w:rsidRPr="00412573">
        <w:rPr>
          <w:lang w:bidi="ar-AE"/>
        </w:rPr>
        <w:t xml:space="preserve">Al-Qatthan menjelaskan tafsir ini </w:t>
      </w:r>
      <w:r w:rsidR="005C7598" w:rsidRPr="00412573">
        <w:rPr>
          <w:lang w:bidi="ar-AE"/>
        </w:rPr>
        <w:t>ialah tafsir hasil karya para sufi dengan maksud untuk menyingkap ibarat yang ada dibalik makna ayat. Dalam pengertian lain, tafsir isyari adalah:</w:t>
      </w:r>
    </w:p>
    <w:p w:rsidR="00412573" w:rsidRPr="00ED4904" w:rsidRDefault="00412573" w:rsidP="009E35A3">
      <w:pPr>
        <w:pStyle w:val="ListParagraph"/>
        <w:spacing w:after="0" w:line="360" w:lineRule="auto"/>
        <w:jc w:val="both"/>
        <w:rPr>
          <w:rFonts w:ascii="Traditional Arabic" w:hAnsi="Traditional Arabic" w:cs="Traditional Arabic"/>
          <w:sz w:val="28"/>
          <w:szCs w:val="28"/>
          <w:lang w:bidi="ar-AE"/>
        </w:rPr>
      </w:pPr>
      <w:r>
        <w:rPr>
          <w:rFonts w:ascii="Traditional Arabic" w:hAnsi="Traditional Arabic" w:cs="Traditional Arabic"/>
          <w:noProof/>
          <w:sz w:val="28"/>
          <w:szCs w:val="28"/>
        </w:rPr>
        <w:drawing>
          <wp:inline distT="0" distB="0" distL="0" distR="0" wp14:anchorId="2D2F6715" wp14:editId="0E92586A">
            <wp:extent cx="53911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jpg"/>
                    <pic:cNvPicPr/>
                  </pic:nvPicPr>
                  <pic:blipFill>
                    <a:blip r:embed="rId8">
                      <a:extLst>
                        <a:ext uri="{28A0092B-C50C-407E-A947-70E740481C1C}">
                          <a14:useLocalDpi xmlns:a14="http://schemas.microsoft.com/office/drawing/2010/main" val="0"/>
                        </a:ext>
                      </a:extLst>
                    </a:blip>
                    <a:stretch>
                      <a:fillRect/>
                    </a:stretch>
                  </pic:blipFill>
                  <pic:spPr>
                    <a:xfrm>
                      <a:off x="0" y="0"/>
                      <a:ext cx="5391150" cy="828675"/>
                    </a:xfrm>
                    <a:prstGeom prst="rect">
                      <a:avLst/>
                    </a:prstGeom>
                  </pic:spPr>
                </pic:pic>
              </a:graphicData>
            </a:graphic>
          </wp:inline>
        </w:drawing>
      </w:r>
    </w:p>
    <w:p w:rsidR="00ED4904" w:rsidRPr="00412573" w:rsidRDefault="00412573" w:rsidP="009E35A3">
      <w:pPr>
        <w:pStyle w:val="ListParagraph"/>
        <w:spacing w:after="0" w:line="360" w:lineRule="auto"/>
        <w:ind w:left="0" w:firstLine="720"/>
        <w:jc w:val="both"/>
        <w:rPr>
          <w:lang w:bidi="ar-AE"/>
        </w:rPr>
      </w:pPr>
      <w:r>
        <w:rPr>
          <w:lang w:bidi="ar-AE"/>
        </w:rPr>
        <w:t xml:space="preserve">Kedua pembagian diatas pada dasarnya adalah hasil pemikiran sufi, namun terdapat perbedaan dalam pengambilan inti maknanya, sufi </w:t>
      </w:r>
      <w:r>
        <w:rPr>
          <w:i/>
          <w:iCs/>
          <w:lang w:bidi="ar-AE"/>
        </w:rPr>
        <w:t>nadhari</w:t>
      </w:r>
      <w:r>
        <w:rPr>
          <w:lang w:bidi="ar-AE"/>
        </w:rPr>
        <w:t xml:space="preserve"> berhubungan dengan filsafat sehingga makna yang dihasilkan jauh dari maksud Al-Qur’an, sedangkan sufi </w:t>
      </w:r>
      <w:r>
        <w:rPr>
          <w:i/>
          <w:iCs/>
          <w:lang w:bidi="ar-AE"/>
        </w:rPr>
        <w:t>akhlaqi</w:t>
      </w:r>
      <w:r>
        <w:rPr>
          <w:lang w:bidi="ar-AE"/>
        </w:rPr>
        <w:t xml:space="preserve"> fokus pada makna bathin dengan tujuan </w:t>
      </w:r>
      <w:r>
        <w:rPr>
          <w:i/>
          <w:iCs/>
          <w:lang w:bidi="ar-AE"/>
        </w:rPr>
        <w:t xml:space="preserve">taqarrub ila Allah. </w:t>
      </w:r>
      <w:r>
        <w:rPr>
          <w:lang w:bidi="ar-AE"/>
        </w:rPr>
        <w:t>Dari kedua jenis ini, tafsir Al-Qusyairi termasuk dalam kategori yang kedua.</w:t>
      </w:r>
    </w:p>
    <w:p w:rsidR="00AA0D91" w:rsidRDefault="00AA0D91" w:rsidP="009E35A3">
      <w:pPr>
        <w:spacing w:after="0" w:line="360" w:lineRule="auto"/>
        <w:jc w:val="both"/>
        <w:rPr>
          <w:lang w:bidi="ar-AE"/>
        </w:rPr>
      </w:pPr>
      <w:r>
        <w:rPr>
          <w:lang w:bidi="ar-AE"/>
        </w:rPr>
        <w:lastRenderedPageBreak/>
        <w:tab/>
      </w:r>
      <w:r w:rsidR="006753C6">
        <w:rPr>
          <w:lang w:bidi="ar-AE"/>
        </w:rPr>
        <w:t xml:space="preserve">Selain pembagian </w:t>
      </w:r>
      <w:r w:rsidR="006753C6">
        <w:rPr>
          <w:i/>
          <w:iCs/>
          <w:lang w:bidi="ar-AE"/>
        </w:rPr>
        <w:t xml:space="preserve">nadhari </w:t>
      </w:r>
      <w:r w:rsidR="006753C6">
        <w:rPr>
          <w:lang w:bidi="ar-AE"/>
        </w:rPr>
        <w:t xml:space="preserve">dan </w:t>
      </w:r>
      <w:r w:rsidR="006753C6">
        <w:rPr>
          <w:i/>
          <w:iCs/>
          <w:lang w:bidi="ar-AE"/>
        </w:rPr>
        <w:t>akhlaqi,</w:t>
      </w:r>
      <w:r w:rsidR="006753C6">
        <w:rPr>
          <w:lang w:bidi="ar-AE"/>
        </w:rPr>
        <w:t xml:space="preserve"> pendapat lain menyebutkan tafsir isyari terbagi menjadi dua yaitu:</w:t>
      </w:r>
    </w:p>
    <w:p w:rsidR="006753C6" w:rsidRDefault="006753C6" w:rsidP="009E35A3">
      <w:pPr>
        <w:pStyle w:val="ListParagraph"/>
        <w:numPr>
          <w:ilvl w:val="0"/>
          <w:numId w:val="3"/>
        </w:numPr>
        <w:spacing w:line="360" w:lineRule="auto"/>
        <w:jc w:val="both"/>
        <w:rPr>
          <w:lang w:bidi="ar-AE"/>
        </w:rPr>
      </w:pPr>
      <w:r w:rsidRPr="006753C6">
        <w:rPr>
          <w:rFonts w:ascii="Traditional Arabic" w:hAnsi="Traditional Arabic" w:cs="Traditional Arabic"/>
          <w:sz w:val="28"/>
          <w:szCs w:val="28"/>
          <w:rtl/>
          <w:lang w:bidi="ar-AE"/>
        </w:rPr>
        <w:t>التفسير الإشاري</w:t>
      </w:r>
      <w:r w:rsidR="00BD078D">
        <w:rPr>
          <w:lang w:bidi="ar-AE"/>
        </w:rPr>
        <w:t xml:space="preserve"> ialah yaitu tafsir yang melihat bahwa setiap ayat mengandung isyarat tersendiri yang hanya mampu ditakwilkan oleh orang-orang tertentu yang memiliki kelebihan dihadapan Allah karena kejernihan hati orang tersebut. Jenis tafsir ini tidak menyampingkan</w:t>
      </w:r>
      <w:r w:rsidR="00E65B4A">
        <w:rPr>
          <w:lang w:bidi="ar-AE"/>
        </w:rPr>
        <w:t xml:space="preserve"> dzahir ayat bahkan bagi mereka, makna bathin dihasilkan setelah melihat makna dzahir. </w:t>
      </w:r>
    </w:p>
    <w:p w:rsidR="00E65B4A" w:rsidRPr="00531C6B" w:rsidRDefault="00E65B4A" w:rsidP="009E35A3">
      <w:pPr>
        <w:pStyle w:val="ListParagraph"/>
        <w:numPr>
          <w:ilvl w:val="0"/>
          <w:numId w:val="3"/>
        </w:numPr>
        <w:spacing w:line="360" w:lineRule="auto"/>
        <w:jc w:val="both"/>
        <w:rPr>
          <w:rFonts w:ascii="Traditional Arabic" w:hAnsi="Traditional Arabic" w:cs="Traditional Arabic"/>
          <w:lang w:bidi="ar-AE"/>
        </w:rPr>
      </w:pPr>
      <w:r w:rsidRPr="00E65B4A">
        <w:rPr>
          <w:rFonts w:ascii="Traditional Arabic" w:hAnsi="Traditional Arabic" w:cs="Traditional Arabic"/>
          <w:sz w:val="28"/>
          <w:szCs w:val="28"/>
          <w:rtl/>
          <w:lang w:bidi="ar-AE"/>
        </w:rPr>
        <w:t>التفسير الباطنة المل</w:t>
      </w:r>
      <w:r w:rsidR="006672CC">
        <w:rPr>
          <w:rFonts w:ascii="Traditional Arabic" w:hAnsi="Traditional Arabic" w:cs="Traditional Arabic" w:hint="cs"/>
          <w:sz w:val="28"/>
          <w:szCs w:val="28"/>
          <w:rtl/>
          <w:lang w:bidi="ar-AE"/>
        </w:rPr>
        <w:t>ا</w:t>
      </w:r>
      <w:r w:rsidRPr="00E65B4A">
        <w:rPr>
          <w:rFonts w:ascii="Traditional Arabic" w:hAnsi="Traditional Arabic" w:cs="Traditional Arabic"/>
          <w:sz w:val="28"/>
          <w:szCs w:val="28"/>
          <w:rtl/>
          <w:lang w:bidi="ar-AE"/>
        </w:rPr>
        <w:t>ضحة</w:t>
      </w:r>
      <w:r>
        <w:rPr>
          <w:rFonts w:ascii="Traditional Arabic" w:hAnsi="Traditional Arabic" w:cs="Traditional Arabic"/>
          <w:sz w:val="28"/>
          <w:szCs w:val="28"/>
          <w:lang w:bidi="ar-AE"/>
        </w:rPr>
        <w:t xml:space="preserve"> </w:t>
      </w:r>
      <w:r w:rsidR="006672CC" w:rsidRPr="00E434A4">
        <w:rPr>
          <w:lang w:bidi="ar-AE"/>
        </w:rPr>
        <w:t>jenis tafsir ini t</w:t>
      </w:r>
      <w:r w:rsidR="00E434A4" w:rsidRPr="00E434A4">
        <w:rPr>
          <w:lang w:bidi="ar-AE"/>
        </w:rPr>
        <w:t>idak memandang</w:t>
      </w:r>
      <w:r w:rsidR="006672CC" w:rsidRPr="00E434A4">
        <w:rPr>
          <w:lang w:bidi="ar-AE"/>
        </w:rPr>
        <w:t xml:space="preserve"> kepada makna dzahir ayat. </w:t>
      </w:r>
      <w:r w:rsidR="00E434A4" w:rsidRPr="00E434A4">
        <w:rPr>
          <w:lang w:bidi="ar-AE"/>
        </w:rPr>
        <w:t>Bagi mereka ayat Al-Qur’an hanya mengandung makna bathin saja, dzahir ayat tidak menunjukan makna yang dimaksud, karena maksud ayat yaitu makna batinnya, penafsiran ini pun menolak yang telah ditetapkan syariat.</w:t>
      </w:r>
    </w:p>
    <w:p w:rsidR="00531C6B" w:rsidRDefault="00531C6B" w:rsidP="009E35A3">
      <w:pPr>
        <w:pStyle w:val="ListParagraph"/>
        <w:spacing w:line="360" w:lineRule="auto"/>
        <w:ind w:left="0" w:firstLine="720"/>
        <w:jc w:val="both"/>
        <w:rPr>
          <w:lang w:bidi="ar-AE"/>
        </w:rPr>
      </w:pPr>
      <w:r>
        <w:rPr>
          <w:lang w:bidi="ar-AE"/>
        </w:rPr>
        <w:t xml:space="preserve">Pandangan ulama terhadap pembagian tafsir isyari diatas melarang penggunaan tafsir </w:t>
      </w:r>
      <w:r w:rsidRPr="00531C6B">
        <w:rPr>
          <w:i/>
          <w:iCs/>
          <w:lang w:bidi="ar-AE"/>
        </w:rPr>
        <w:t>isyari nadhari</w:t>
      </w:r>
      <w:r>
        <w:rPr>
          <w:lang w:bidi="ar-AE"/>
        </w:rPr>
        <w:t xml:space="preserve">, sedangkan </w:t>
      </w:r>
      <w:r w:rsidRPr="00531C6B">
        <w:rPr>
          <w:i/>
          <w:iCs/>
          <w:lang w:bidi="ar-AE"/>
        </w:rPr>
        <w:t>isyari akhlaqi</w:t>
      </w:r>
      <w:r>
        <w:rPr>
          <w:lang w:bidi="ar-AE"/>
        </w:rPr>
        <w:t xml:space="preserve"> diperbolehkan dengan berbagai syarat seperti kesesuaian dengan maksud ayat, kesesuaian antara hal yang tersirat dan tersurat dalam ayat, dan berbagai</w:t>
      </w:r>
      <w:r w:rsidR="00650201">
        <w:rPr>
          <w:lang w:bidi="ar-AE"/>
        </w:rPr>
        <w:t xml:space="preserve"> syarat lainnya yang menunjukan bahwa hasil penafsirannya tidak bertentangan.</w:t>
      </w:r>
      <w:r w:rsidR="00632E96">
        <w:rPr>
          <w:rStyle w:val="FootnoteReference"/>
          <w:lang w:bidi="ar-AE"/>
        </w:rPr>
        <w:footnoteReference w:id="6"/>
      </w:r>
    </w:p>
    <w:p w:rsidR="00F448A6" w:rsidRDefault="00023D84" w:rsidP="009E35A3">
      <w:pPr>
        <w:pStyle w:val="ListParagraph"/>
        <w:numPr>
          <w:ilvl w:val="1"/>
          <w:numId w:val="1"/>
        </w:numPr>
        <w:spacing w:line="360" w:lineRule="auto"/>
        <w:ind w:left="450" w:hanging="450"/>
        <w:jc w:val="both"/>
        <w:rPr>
          <w:b/>
          <w:bCs/>
          <w:i/>
          <w:iCs/>
        </w:rPr>
      </w:pPr>
      <w:r>
        <w:rPr>
          <w:b/>
          <w:bCs/>
          <w:i/>
          <w:iCs/>
        </w:rPr>
        <w:t>Biografi Imam Al-Qusyairi</w:t>
      </w:r>
    </w:p>
    <w:p w:rsidR="00023D84" w:rsidRDefault="00D24776" w:rsidP="009E35A3">
      <w:pPr>
        <w:pStyle w:val="ListParagraph"/>
        <w:spacing w:line="360" w:lineRule="auto"/>
        <w:ind w:left="0" w:firstLine="720"/>
        <w:jc w:val="both"/>
      </w:pPr>
      <w:r>
        <w:t>Imam Al-Qu</w:t>
      </w:r>
      <w:r w:rsidR="008C313C">
        <w:t>syairi ialah seorang ulama yang lahir di Istiwa, Naisabur Iran pada bulan Rab</w:t>
      </w:r>
      <w:r w:rsidR="00623A7C">
        <w:t>iul Awwal tahun 986 M. Nama asalnya Abdul Karim, sedangkan panggilan</w:t>
      </w:r>
      <w:r w:rsidR="008C313C">
        <w:t xml:space="preserve"> Al-Qusyairi berasal dari nama daerah di Arab yaitu Qusyair. Nama Qusyairi juga berasal dari sebuah marga.</w:t>
      </w:r>
      <w:r w:rsidR="00623A7C">
        <w:t xml:space="preserve"> Selain Al-Qusyairi, nama panggilan lainnya yaitu An-Naisaburi dan Al-Istiwa, keduanya berdasar pada nama suatu daerah, begitupula ia dipanggil as Syafi’i karena kecondongan madzhabnya.</w:t>
      </w:r>
      <w:r w:rsidR="008C313C">
        <w:t xml:space="preserve"> Dalam masa hidupnya, sejak kecil ia telah menjadi anak yatim, setelah wafat ayahnya ia sibuk membantu ibunya. Keadaan ekonomi masyarakat saat itu sangat buruk karena p</w:t>
      </w:r>
      <w:r w:rsidR="00776500">
        <w:t>ermasalahan politik pemerintahan dinasti Ghazwaniyah.</w:t>
      </w:r>
    </w:p>
    <w:p w:rsidR="008C313C" w:rsidRDefault="008C313C" w:rsidP="009E35A3">
      <w:pPr>
        <w:pStyle w:val="ListParagraph"/>
        <w:spacing w:line="360" w:lineRule="auto"/>
        <w:ind w:left="0" w:firstLine="720"/>
        <w:jc w:val="both"/>
      </w:pPr>
      <w:r>
        <w:t>Di kota Naisabur ia belajar berbagai ilmu, seperti fiqih, tafsir, bahasa Arab terutama berhitung. Kemudian ia tinggal dengan pamannya dan disan</w:t>
      </w:r>
      <w:r w:rsidR="00142908">
        <w:t>alah ia mempelajari bahasa Arab. Selain belajar dari pamannya, ia juga belajar dari para guru yang merupakan petinggi ulama dalam bidang sejarah dan ahli sufi</w:t>
      </w:r>
      <w:r w:rsidR="00623A7C">
        <w:t>. Ia juga mendalami ushuluddin</w:t>
      </w:r>
      <w:r w:rsidR="00142908">
        <w:t xml:space="preserve"> dan ushul fiqih.</w:t>
      </w:r>
      <w:r w:rsidR="0018517C">
        <w:t xml:space="preserve"> Guru yang memiliki pengaruh besar baginya adalah Abu Ali Ad-Daqaq yang merupakan seorang sufi pada masanya</w:t>
      </w:r>
      <w:r w:rsidR="00FA5C1F">
        <w:t>. Al-Qusyairi</w:t>
      </w:r>
      <w:r w:rsidR="0018517C">
        <w:t xml:space="preserve"> </w:t>
      </w:r>
      <w:r w:rsidR="00FA5C1F">
        <w:t xml:space="preserve">bermadzhab </w:t>
      </w:r>
      <w:r w:rsidR="0018517C">
        <w:t>syafii</w:t>
      </w:r>
      <w:r w:rsidR="00FA5C1F">
        <w:t xml:space="preserve"> sedangkan dalam aqidahnya ia mengikuti madzhab asy’ari</w:t>
      </w:r>
      <w:r w:rsidR="0018517C">
        <w:t>, ia pun banyak menguasai berbagai ilmu.</w:t>
      </w:r>
    </w:p>
    <w:p w:rsidR="00623A7C" w:rsidRDefault="0018517C" w:rsidP="009E35A3">
      <w:pPr>
        <w:pStyle w:val="ListParagraph"/>
        <w:spacing w:line="360" w:lineRule="auto"/>
        <w:ind w:left="0" w:firstLine="720"/>
        <w:jc w:val="both"/>
      </w:pPr>
      <w:r>
        <w:lastRenderedPageBreak/>
        <w:t>Ad-Daqaq</w:t>
      </w:r>
      <w:r w:rsidR="00623A7C">
        <w:t xml:space="preserve"> menikahkan putrinya dengan Al-Qusyairi, gurunya ini pun</w:t>
      </w:r>
      <w:r>
        <w:t xml:space="preserve"> memiliki peran besar dalam kehidupan Al-Qusyairi, </w:t>
      </w:r>
      <w:r w:rsidR="008C1CDA">
        <w:t>pemikiran sufinya berdasar atas pendidikan gurunya tersebut, hingga Al-Qusyairi menjadi tokoh sufi besar pada abad kelima hijriyah, dan ia pun menulis ban</w:t>
      </w:r>
      <w:r w:rsidR="00952E85">
        <w:t>yak karya dalam bidang tasawuf dengan karya</w:t>
      </w:r>
      <w:r w:rsidR="00691C84">
        <w:t>nya</w:t>
      </w:r>
      <w:r w:rsidR="00952E85">
        <w:t xml:space="preserve"> yang paling terkenal yaitu tafsir </w:t>
      </w:r>
      <w:r w:rsidR="00952E85" w:rsidRPr="00952E85">
        <w:rPr>
          <w:i/>
          <w:iCs/>
        </w:rPr>
        <w:t>Lathaif Al-Isyarat</w:t>
      </w:r>
      <w:r w:rsidR="00281DB9">
        <w:t xml:space="preserve"> yang menjadi induk tasawuf. Dengan tafsir ini ia dipandang sebagai pemersatu hakikat dan syariat. </w:t>
      </w:r>
      <w:r w:rsidR="00952E85">
        <w:t xml:space="preserve">Ia </w:t>
      </w:r>
      <w:r w:rsidR="00B536EA">
        <w:t xml:space="preserve">meninggal di Naisabur pada </w:t>
      </w:r>
      <w:r w:rsidR="00952E85">
        <w:t>usia 87 tahun tahun 1073 M, makamnya pun berdampingan dengan gurunya Ad-Daqaq.</w:t>
      </w:r>
      <w:r w:rsidR="007620B5">
        <w:rPr>
          <w:rStyle w:val="FootnoteReference"/>
        </w:rPr>
        <w:footnoteReference w:id="7"/>
      </w:r>
    </w:p>
    <w:p w:rsidR="00B536EA" w:rsidRDefault="008F3341" w:rsidP="009E35A3">
      <w:pPr>
        <w:pStyle w:val="ListParagraph"/>
        <w:numPr>
          <w:ilvl w:val="1"/>
          <w:numId w:val="1"/>
        </w:numPr>
        <w:spacing w:after="0" w:line="360" w:lineRule="auto"/>
        <w:ind w:left="450" w:hanging="450"/>
        <w:jc w:val="both"/>
        <w:rPr>
          <w:b/>
          <w:bCs/>
          <w:i/>
          <w:iCs/>
        </w:rPr>
      </w:pPr>
      <w:r>
        <w:rPr>
          <w:b/>
          <w:bCs/>
          <w:i/>
          <w:iCs/>
        </w:rPr>
        <w:t>Kitab Tafsir</w:t>
      </w:r>
      <w:r w:rsidR="00B536EA" w:rsidRPr="00B536EA">
        <w:rPr>
          <w:b/>
          <w:bCs/>
          <w:i/>
          <w:iCs/>
        </w:rPr>
        <w:t xml:space="preserve"> Lathaif Al-Isyarat</w:t>
      </w:r>
    </w:p>
    <w:p w:rsidR="008C5FE4" w:rsidRPr="008C5FE4" w:rsidRDefault="008C5FE4" w:rsidP="009E35A3">
      <w:pPr>
        <w:pStyle w:val="ListParagraph"/>
        <w:numPr>
          <w:ilvl w:val="2"/>
          <w:numId w:val="1"/>
        </w:numPr>
        <w:tabs>
          <w:tab w:val="left" w:pos="990"/>
        </w:tabs>
        <w:spacing w:after="0" w:line="360" w:lineRule="auto"/>
        <w:jc w:val="both"/>
        <w:rPr>
          <w:b/>
          <w:bCs/>
          <w:i/>
          <w:iCs/>
        </w:rPr>
      </w:pPr>
      <w:r w:rsidRPr="008C5FE4">
        <w:rPr>
          <w:b/>
          <w:bCs/>
          <w:i/>
          <w:iCs/>
        </w:rPr>
        <w:t>Sekilas Tentang Tafsir Al-Qusyairi</w:t>
      </w:r>
    </w:p>
    <w:p w:rsidR="008C5FE4" w:rsidRDefault="008C5FE4" w:rsidP="009E35A3">
      <w:pPr>
        <w:spacing w:after="0" w:line="360" w:lineRule="auto"/>
        <w:ind w:firstLine="720"/>
        <w:jc w:val="both"/>
        <w:rPr>
          <w:lang w:bidi="ar-AE"/>
        </w:rPr>
      </w:pPr>
      <w:r>
        <w:rPr>
          <w:lang w:bidi="ar-AE"/>
        </w:rPr>
        <w:t xml:space="preserve">Tafsir ini dinamai </w:t>
      </w:r>
      <w:r w:rsidRPr="008C5FE4">
        <w:rPr>
          <w:i/>
          <w:iCs/>
          <w:lang w:bidi="ar-AE"/>
        </w:rPr>
        <w:t xml:space="preserve">Lathaif Al-Isyarat, </w:t>
      </w:r>
      <w:r>
        <w:rPr>
          <w:lang w:bidi="ar-AE"/>
        </w:rPr>
        <w:t xml:space="preserve">kitab ini dicetak pertama kali oleh penerbit Kairo sebanyak tiga jilid. Lalu percetakan kedua pada tahun 1390 oleh penerbit Kairo. Sebelum penulisan tafsir ini, Al-Qusyairi juga menulis tafsir lain dengan metode umum yang digunakan banyak mufassir. Sedangkan pada tafsir ini, ia menafsirkan dengan pendekatan tasawuf. Dalam penafsirannya, terdapat metode khusus yang berbeda dengan tafsir sufi lainnya, yaitu upayanya untuk menyatukan antara potensi </w:t>
      </w:r>
      <w:r w:rsidRPr="008C5FE4">
        <w:rPr>
          <w:i/>
          <w:iCs/>
          <w:lang w:bidi="ar-AE"/>
        </w:rPr>
        <w:t>qalb</w:t>
      </w:r>
      <w:r>
        <w:rPr>
          <w:lang w:bidi="ar-AE"/>
        </w:rPr>
        <w:t xml:space="preserve"> dan </w:t>
      </w:r>
      <w:r w:rsidRPr="008C5FE4">
        <w:rPr>
          <w:i/>
          <w:iCs/>
          <w:lang w:bidi="ar-AE"/>
        </w:rPr>
        <w:t xml:space="preserve">‘aql, </w:t>
      </w:r>
      <w:r>
        <w:rPr>
          <w:lang w:bidi="ar-AE"/>
        </w:rPr>
        <w:t>sehingga tafsir ini dapat difahami pembaca dengan jelas.</w:t>
      </w:r>
    </w:p>
    <w:p w:rsidR="005931F1" w:rsidRPr="000C787C" w:rsidRDefault="008C5FE4" w:rsidP="009E35A3">
      <w:pPr>
        <w:pStyle w:val="ListParagraph"/>
        <w:spacing w:after="0" w:line="360" w:lineRule="auto"/>
        <w:ind w:left="0" w:firstLine="720"/>
        <w:jc w:val="both"/>
        <w:rPr>
          <w:lang w:bidi="ar-AE"/>
        </w:rPr>
      </w:pPr>
      <w:r>
        <w:rPr>
          <w:lang w:bidi="ar-AE"/>
        </w:rPr>
        <w:t xml:space="preserve">Penamaan kitab ini dengan </w:t>
      </w:r>
      <w:r>
        <w:rPr>
          <w:i/>
          <w:iCs/>
          <w:lang w:bidi="ar-AE"/>
        </w:rPr>
        <w:t xml:space="preserve">Isyarat </w:t>
      </w:r>
      <w:r>
        <w:rPr>
          <w:lang w:bidi="ar-AE"/>
        </w:rPr>
        <w:t>karena cara menunjukan rasa cinta dengan isyarat itu lebih sampai kepada yang dicintai dibandingkan dengan bahasa verbal. Sedangkan dalam ayat-ayat ini banyak terdapat rahasia yang hanya bisa difahami dengan jalan sufi. Maka kitab tafsir ini tidak hanya memperhatikan sisi bahasa dan ilmu lainnya sebagaimana mufassir pada umumnya. Namun dalam kitab ini Al-Qusyairi berupaya untuk meraih rahasia yang terkandung dalam ayat-ayat.</w:t>
      </w:r>
      <w:r>
        <w:rPr>
          <w:rStyle w:val="FootnoteReference"/>
          <w:lang w:bidi="ar-AE"/>
        </w:rPr>
        <w:footnoteReference w:id="8"/>
      </w:r>
      <w:r w:rsidR="000C787C">
        <w:rPr>
          <w:lang w:bidi="ar-AE"/>
        </w:rPr>
        <w:t xml:space="preserve"> Dalam menyusun kitab ini, Al-Qusyairi tidak menjelaskan berbagai referensi penulisannya sebagaimana yang disebutkan oleh m</w:t>
      </w:r>
      <w:r w:rsidR="008A24F4">
        <w:rPr>
          <w:lang w:bidi="ar-AE"/>
        </w:rPr>
        <w:t>ufassir lain dalam kitabnya.</w:t>
      </w:r>
      <w:r w:rsidR="008A24F4">
        <w:rPr>
          <w:rStyle w:val="FootnoteReference"/>
          <w:lang w:bidi="ar-AE"/>
        </w:rPr>
        <w:footnoteReference w:id="9"/>
      </w:r>
    </w:p>
    <w:p w:rsidR="008F3341" w:rsidRPr="00B536EA" w:rsidRDefault="008C5FE4" w:rsidP="009E35A3">
      <w:pPr>
        <w:pStyle w:val="ListParagraph"/>
        <w:spacing w:after="0" w:line="360" w:lineRule="auto"/>
        <w:ind w:left="450"/>
        <w:jc w:val="both"/>
        <w:rPr>
          <w:b/>
          <w:bCs/>
          <w:i/>
          <w:iCs/>
        </w:rPr>
      </w:pPr>
      <w:proofErr w:type="gramStart"/>
      <w:r>
        <w:rPr>
          <w:b/>
          <w:bCs/>
          <w:i/>
          <w:iCs/>
        </w:rPr>
        <w:t>2.3.2</w:t>
      </w:r>
      <w:r w:rsidR="008F3341">
        <w:rPr>
          <w:b/>
          <w:bCs/>
          <w:i/>
          <w:iCs/>
        </w:rPr>
        <w:t xml:space="preserve"> </w:t>
      </w:r>
      <w:r>
        <w:rPr>
          <w:b/>
          <w:bCs/>
          <w:i/>
          <w:iCs/>
        </w:rPr>
        <w:t xml:space="preserve"> </w:t>
      </w:r>
      <w:r w:rsidR="008F3341">
        <w:rPr>
          <w:b/>
          <w:bCs/>
          <w:i/>
          <w:iCs/>
        </w:rPr>
        <w:t>Metode</w:t>
      </w:r>
      <w:proofErr w:type="gramEnd"/>
      <w:r w:rsidR="008F3341">
        <w:rPr>
          <w:b/>
          <w:bCs/>
          <w:i/>
          <w:iCs/>
        </w:rPr>
        <w:t xml:space="preserve"> Kitab Tafsir</w:t>
      </w:r>
      <w:r w:rsidR="008F3341" w:rsidRPr="00B536EA">
        <w:rPr>
          <w:b/>
          <w:bCs/>
          <w:i/>
          <w:iCs/>
        </w:rPr>
        <w:t xml:space="preserve"> Lathaif Al-Isyarat</w:t>
      </w:r>
    </w:p>
    <w:p w:rsidR="00B536EA" w:rsidRDefault="00B536EA" w:rsidP="009E35A3">
      <w:pPr>
        <w:spacing w:after="0" w:line="360" w:lineRule="auto"/>
        <w:ind w:firstLine="720"/>
        <w:jc w:val="both"/>
      </w:pPr>
      <w:r>
        <w:t>Tafsir i</w:t>
      </w:r>
      <w:r w:rsidR="00235C71">
        <w:t xml:space="preserve">ni merujuk pada metode tahlili. Ia memulai penafsirannya dari surat Al-Fatihah, tafsir ini menjelaskan dari ayat ke ayat secara rinci, menjelaskan makna yang berkaitan, menyebutkan </w:t>
      </w:r>
      <w:r w:rsidR="00235C71">
        <w:rPr>
          <w:i/>
          <w:iCs/>
        </w:rPr>
        <w:t>asbab an-nuzul</w:t>
      </w:r>
      <w:r w:rsidR="00235C71">
        <w:t xml:space="preserve"> dan beberapa ayat diartikan dengan artinya yang spesifik. Begitupula karena ia bersumber dari tafsir Isyari, maka penafsirannya banyak dipengaruhi oleh </w:t>
      </w:r>
      <w:r w:rsidR="00A4783E">
        <w:t>nilai-nilai sufi.</w:t>
      </w:r>
      <w:r w:rsidR="008151BC">
        <w:rPr>
          <w:rStyle w:val="FootnoteReference"/>
        </w:rPr>
        <w:footnoteReference w:id="10"/>
      </w:r>
    </w:p>
    <w:p w:rsidR="00E60F8F" w:rsidRDefault="00393810" w:rsidP="009E35A3">
      <w:pPr>
        <w:spacing w:after="0" w:line="360" w:lineRule="auto"/>
        <w:ind w:firstLine="720"/>
        <w:jc w:val="both"/>
      </w:pPr>
      <w:r>
        <w:lastRenderedPageBreak/>
        <w:t xml:space="preserve">Dalam pendahuluan tafsirnya ia menyebutkan bahwa kitab tafsir ini menggunakan dia metode: pertama dengan menukil pendapat dari para ulama salih, waliyullah yang dipandang orang suci, dengan mendengarkan langsung dari para </w:t>
      </w:r>
      <w:r w:rsidRPr="00393810">
        <w:rPr>
          <w:i/>
          <w:iCs/>
        </w:rPr>
        <w:t>masayikhnya</w:t>
      </w:r>
      <w:r>
        <w:t>, lalu kedua dengan pandangan Al-Qusyairi terhadap ayat tersebut ditinjau dengan penguasaannya dalam berbagai ilmu tasawuf.</w:t>
      </w:r>
      <w:r w:rsidR="002A4603">
        <w:t xml:space="preserve"> </w:t>
      </w:r>
      <w:r w:rsidR="00E60F8F">
        <w:t xml:space="preserve">Kitab ini menerangkan isyarat ayat sesuai pemahaman ahli makrifat, baik dari </w:t>
      </w:r>
      <w:r w:rsidR="002A4603">
        <w:t xml:space="preserve">perkataannya ataupun kaidahnya. Al-Qusyairi menulis karya ini dengan ringkas dan jelas dengan tujuan sampai pada Allah SWT. </w:t>
      </w:r>
      <w:r w:rsidR="002A4603">
        <w:rPr>
          <w:rStyle w:val="FootnoteReference"/>
        </w:rPr>
        <w:footnoteReference w:id="11"/>
      </w:r>
    </w:p>
    <w:p w:rsidR="0058314E" w:rsidRPr="008C5FE4" w:rsidRDefault="00A176BD" w:rsidP="009E35A3">
      <w:pPr>
        <w:pStyle w:val="ListParagraph"/>
        <w:numPr>
          <w:ilvl w:val="2"/>
          <w:numId w:val="3"/>
        </w:numPr>
        <w:spacing w:after="0" w:line="360" w:lineRule="auto"/>
        <w:ind w:left="720" w:hanging="540"/>
        <w:jc w:val="both"/>
        <w:rPr>
          <w:b/>
          <w:bCs/>
          <w:i/>
          <w:iCs/>
          <w:lang w:bidi="ar-AE"/>
        </w:rPr>
      </w:pPr>
      <w:r>
        <w:rPr>
          <w:b/>
          <w:bCs/>
          <w:i/>
          <w:iCs/>
          <w:lang w:bidi="ar-AE"/>
        </w:rPr>
        <w:t xml:space="preserve"> </w:t>
      </w:r>
      <w:r w:rsidR="008C5FE4">
        <w:rPr>
          <w:b/>
          <w:bCs/>
          <w:i/>
          <w:iCs/>
          <w:lang w:bidi="ar-AE"/>
        </w:rPr>
        <w:t>Karakteristik Penafsiran</w:t>
      </w:r>
    </w:p>
    <w:p w:rsidR="008C1CDA" w:rsidRDefault="0060120A" w:rsidP="009E35A3">
      <w:pPr>
        <w:spacing w:after="0" w:line="360" w:lineRule="auto"/>
        <w:ind w:left="720"/>
        <w:jc w:val="both"/>
      </w:pPr>
      <w:r>
        <w:t xml:space="preserve">Diantara karakteristik kitab tafsir </w:t>
      </w:r>
      <w:r>
        <w:rPr>
          <w:i/>
          <w:iCs/>
        </w:rPr>
        <w:t>Lathaif Al-Isyarat</w:t>
      </w:r>
      <w:r>
        <w:t xml:space="preserve"> sebagai berikut: </w:t>
      </w:r>
    </w:p>
    <w:p w:rsidR="004E38BB" w:rsidRDefault="004E38BB" w:rsidP="009E35A3">
      <w:pPr>
        <w:pStyle w:val="ListParagraph"/>
        <w:numPr>
          <w:ilvl w:val="0"/>
          <w:numId w:val="4"/>
        </w:numPr>
        <w:spacing w:line="360" w:lineRule="auto"/>
        <w:jc w:val="both"/>
      </w:pPr>
      <w:r>
        <w:t>Kitab tafsir ini menjelaskan berbagai isyarat ayat berdasarkan paham ahli makrifat, baik dari perkataan ataupun pendapatnya. Yang dimaksud isyarat dalam kitab ini adalah penjelasan rahasia dibalik ayat dengan dasar hakikat. Hal ini dihasilkan dengan pengalaman spiritual yang bersandar penuh pada pemberian Allah.</w:t>
      </w:r>
    </w:p>
    <w:p w:rsidR="004E38BB" w:rsidRDefault="004E38BB" w:rsidP="009E35A3">
      <w:pPr>
        <w:pStyle w:val="ListParagraph"/>
        <w:numPr>
          <w:ilvl w:val="0"/>
          <w:numId w:val="4"/>
        </w:numPr>
        <w:spacing w:line="360" w:lineRule="auto"/>
        <w:jc w:val="both"/>
      </w:pPr>
      <w:r>
        <w:t>Dalam kitab ini sepenuhnya menggunakan penafsiran isyari berbeda dengan kitab sufi lainnya seperti Al-Alusi yang tidak menafsirkan dengan isyari seluruhnya, namun Al-Alusi memadukan dengan kajian kebahasaan.</w:t>
      </w:r>
    </w:p>
    <w:p w:rsidR="004C1798" w:rsidRDefault="004C1798" w:rsidP="009E35A3">
      <w:pPr>
        <w:pStyle w:val="ListParagraph"/>
        <w:numPr>
          <w:ilvl w:val="0"/>
          <w:numId w:val="4"/>
        </w:numPr>
        <w:spacing w:line="360" w:lineRule="auto"/>
        <w:jc w:val="both"/>
      </w:pPr>
      <w:r>
        <w:t>Al-Q</w:t>
      </w:r>
      <w:r w:rsidR="00F854E3">
        <w:t>usyairi dalam teologinya mengikuti aliran sunni</w:t>
      </w:r>
      <w:r w:rsidR="007A1606">
        <w:t xml:space="preserve"> dan</w:t>
      </w:r>
      <w:r w:rsidR="003E2E94">
        <w:t xml:space="preserve"> menolak faham yang menyamakan</w:t>
      </w:r>
      <w:r w:rsidR="006F06ED">
        <w:t xml:space="preserve"> </w:t>
      </w:r>
      <w:r w:rsidR="00611AE2">
        <w:t xml:space="preserve">sifat </w:t>
      </w:r>
      <w:r w:rsidR="006F06ED">
        <w:t xml:space="preserve">bentuk </w:t>
      </w:r>
      <w:r w:rsidR="003E2E94">
        <w:t>Allah sama dengan man</w:t>
      </w:r>
      <w:r w:rsidR="007A1606">
        <w:t>usia.</w:t>
      </w:r>
    </w:p>
    <w:p w:rsidR="007A1606" w:rsidRPr="00A176BD" w:rsidRDefault="007A1606" w:rsidP="009E35A3">
      <w:pPr>
        <w:pStyle w:val="ListParagraph"/>
        <w:numPr>
          <w:ilvl w:val="2"/>
          <w:numId w:val="3"/>
        </w:numPr>
        <w:spacing w:after="0" w:line="360" w:lineRule="auto"/>
        <w:ind w:left="810" w:hanging="630"/>
        <w:jc w:val="both"/>
        <w:rPr>
          <w:b/>
          <w:bCs/>
          <w:i/>
          <w:iCs/>
        </w:rPr>
      </w:pPr>
      <w:r w:rsidRPr="00A176BD">
        <w:rPr>
          <w:b/>
          <w:bCs/>
          <w:i/>
          <w:iCs/>
        </w:rPr>
        <w:t>Sistematika Penafsiran</w:t>
      </w:r>
    </w:p>
    <w:p w:rsidR="007A1606" w:rsidRDefault="00F60831" w:rsidP="009E35A3">
      <w:pPr>
        <w:pStyle w:val="ListParagraph"/>
        <w:numPr>
          <w:ilvl w:val="0"/>
          <w:numId w:val="5"/>
        </w:numPr>
        <w:spacing w:line="360" w:lineRule="auto"/>
        <w:jc w:val="both"/>
      </w:pPr>
      <w:r>
        <w:t>Menjelaskan keutamaan surat yang akan ditafsirkan, kemudian menjelaskan ayat per ayatnya dalam surat tersebut.</w:t>
      </w:r>
    </w:p>
    <w:p w:rsidR="00F60831" w:rsidRDefault="00F60831" w:rsidP="009E35A3">
      <w:pPr>
        <w:pStyle w:val="ListParagraph"/>
        <w:numPr>
          <w:ilvl w:val="0"/>
          <w:numId w:val="5"/>
        </w:numPr>
        <w:spacing w:line="360" w:lineRule="auto"/>
        <w:jc w:val="both"/>
      </w:pPr>
      <w:r>
        <w:t>Setiap penjelasan suratnya mengandung nilai sufi.</w:t>
      </w:r>
    </w:p>
    <w:p w:rsidR="00F60831" w:rsidRDefault="00403E57" w:rsidP="009E35A3">
      <w:pPr>
        <w:pStyle w:val="ListParagraph"/>
        <w:numPr>
          <w:ilvl w:val="0"/>
          <w:numId w:val="5"/>
        </w:numPr>
        <w:spacing w:line="360" w:lineRule="auto"/>
        <w:jc w:val="both"/>
      </w:pPr>
      <w:r>
        <w:t>Al-Qusyairi tidak memperdebatkan penafsiran mengenai basmalah</w:t>
      </w:r>
    </w:p>
    <w:p w:rsidR="00403E57" w:rsidRDefault="00403E57" w:rsidP="009E35A3">
      <w:pPr>
        <w:pStyle w:val="ListParagraph"/>
        <w:numPr>
          <w:ilvl w:val="0"/>
          <w:numId w:val="5"/>
        </w:numPr>
        <w:spacing w:line="360" w:lineRule="auto"/>
        <w:jc w:val="both"/>
      </w:pPr>
      <w:r>
        <w:t>Sebelum men</w:t>
      </w:r>
      <w:r w:rsidR="0051561C">
        <w:t xml:space="preserve">afsirkan dari sisi tasawuf, ia </w:t>
      </w:r>
      <w:r>
        <w:t>menjelaskan sisi dzahir ayat terlebih dahulu.</w:t>
      </w:r>
    </w:p>
    <w:p w:rsidR="00403E57" w:rsidRDefault="00403E57" w:rsidP="009E35A3">
      <w:pPr>
        <w:pStyle w:val="ListParagraph"/>
        <w:numPr>
          <w:ilvl w:val="0"/>
          <w:numId w:val="5"/>
        </w:numPr>
        <w:spacing w:line="360" w:lineRule="auto"/>
        <w:jc w:val="both"/>
      </w:pPr>
      <w:r>
        <w:t>Dalam penafsirannya berupaya men</w:t>
      </w:r>
      <w:r w:rsidR="00524C9E">
        <w:t>ghadirkan kajian fiqih dan tasawuf</w:t>
      </w:r>
      <w:r w:rsidR="00E455FC">
        <w:t>.</w:t>
      </w:r>
    </w:p>
    <w:p w:rsidR="00A176BD" w:rsidRDefault="00CA7089" w:rsidP="009E35A3">
      <w:pPr>
        <w:pStyle w:val="ListParagraph"/>
        <w:numPr>
          <w:ilvl w:val="1"/>
          <w:numId w:val="3"/>
        </w:numPr>
        <w:spacing w:line="360" w:lineRule="auto"/>
        <w:ind w:left="450" w:hanging="450"/>
        <w:jc w:val="both"/>
        <w:rPr>
          <w:b/>
          <w:bCs/>
          <w:i/>
          <w:iCs/>
        </w:rPr>
      </w:pPr>
      <w:r>
        <w:rPr>
          <w:b/>
          <w:bCs/>
          <w:i/>
          <w:iCs/>
        </w:rPr>
        <w:t>Metode Khusus Kitab Tafsir Lathaif Al-Isyarat</w:t>
      </w:r>
    </w:p>
    <w:p w:rsidR="00FB371F" w:rsidRDefault="00937613" w:rsidP="009E35A3">
      <w:pPr>
        <w:spacing w:line="360" w:lineRule="auto"/>
        <w:ind w:firstLine="567"/>
        <w:jc w:val="both"/>
        <w:rPr>
          <w:lang w:val="id-ID"/>
        </w:rPr>
      </w:pPr>
      <w:r>
        <w:t xml:space="preserve"> </w:t>
      </w:r>
      <w:r w:rsidR="00FB371F">
        <w:rPr>
          <w:lang w:val="id-ID"/>
        </w:rPr>
        <w:t xml:space="preserve">Setelah memaparkan metode tafsir umum, pembahasan selanjutnya akan berfokus kepada metode tafsir khusus di dalam kitab </w:t>
      </w:r>
      <w:r w:rsidR="00FB371F">
        <w:rPr>
          <w:i/>
          <w:iCs/>
          <w:lang w:val="id-ID"/>
        </w:rPr>
        <w:t xml:space="preserve">Lathaif al-Isyarat </w:t>
      </w:r>
      <w:r w:rsidR="00FB371F">
        <w:rPr>
          <w:lang w:val="id-ID"/>
        </w:rPr>
        <w:t xml:space="preserve">karya Imam Qusyairi. Metode tafsir khusus yang dimaksud adalah metode yang menjadi ciri khas dalam metode penyusunan sebuah kitab tafsir. Melalui pembacaan kitab </w:t>
      </w:r>
      <w:r w:rsidR="00FB371F">
        <w:rPr>
          <w:i/>
          <w:iCs/>
          <w:lang w:val="id-ID"/>
        </w:rPr>
        <w:t xml:space="preserve">Lathaif al-Isyarat </w:t>
      </w:r>
      <w:r w:rsidR="00FB371F">
        <w:rPr>
          <w:lang w:val="id-ID"/>
        </w:rPr>
        <w:t xml:space="preserve">dan makalah </w:t>
      </w:r>
      <w:r w:rsidR="00FB371F">
        <w:rPr>
          <w:lang w:val="id-ID"/>
        </w:rPr>
        <w:lastRenderedPageBreak/>
        <w:t xml:space="preserve">serta jurnal yang membahas tentang metode tafsir al-Qusyairi, penulis merangkum beberapa metode khusus al-Qusyairi dalam menyusun kitab </w:t>
      </w:r>
      <w:r w:rsidR="00FB371F">
        <w:rPr>
          <w:i/>
          <w:iCs/>
          <w:lang w:val="id-ID"/>
        </w:rPr>
        <w:t xml:space="preserve">Lathaif al-Isyarat </w:t>
      </w:r>
      <w:r w:rsidR="00FB371F">
        <w:rPr>
          <w:lang w:val="id-ID"/>
        </w:rPr>
        <w:t>sebagai berikut :</w:t>
      </w:r>
    </w:p>
    <w:p w:rsidR="00937613" w:rsidRDefault="00FB371F" w:rsidP="009E35A3">
      <w:pPr>
        <w:pStyle w:val="ListParagraph"/>
        <w:spacing w:line="360" w:lineRule="auto"/>
        <w:ind w:left="450"/>
        <w:jc w:val="both"/>
        <w:rPr>
          <w:b/>
          <w:bCs/>
          <w:lang w:val="id-ID"/>
        </w:rPr>
      </w:pPr>
      <w:r w:rsidRPr="009B51F3">
        <w:rPr>
          <w:b/>
          <w:bCs/>
          <w:lang w:val="id-ID"/>
        </w:rPr>
        <w:t>2.4.1. Selalu menampilkan makna-makna isyarat dalam ayat yang ditafsirkan</w:t>
      </w:r>
    </w:p>
    <w:p w:rsidR="00FD0D41" w:rsidRDefault="00FD0D41" w:rsidP="00FD0D41">
      <w:pPr>
        <w:pStyle w:val="ListParagraph"/>
        <w:spacing w:line="360" w:lineRule="auto"/>
        <w:ind w:left="0" w:firstLine="567"/>
        <w:jc w:val="both"/>
        <w:rPr>
          <w:lang w:val="id-ID"/>
        </w:rPr>
      </w:pPr>
      <w:r>
        <w:rPr>
          <w:i/>
          <w:iCs/>
          <w:lang w:val="id-ID"/>
        </w:rPr>
        <w:t xml:space="preserve">Lathaif al-Isyarat </w:t>
      </w:r>
      <w:r>
        <w:rPr>
          <w:lang w:val="id-ID"/>
        </w:rPr>
        <w:t xml:space="preserve">adalah kitab tafsir bercorak sufi </w:t>
      </w:r>
      <w:r>
        <w:rPr>
          <w:i/>
          <w:iCs/>
          <w:lang w:val="id-ID"/>
        </w:rPr>
        <w:t>isyari</w:t>
      </w:r>
      <w:r>
        <w:rPr>
          <w:lang w:val="id-ID"/>
        </w:rPr>
        <w:t xml:space="preserve"> sehingga dalam menafsirkan ayat, al-Qusyairi tidak lupa memberikan makna isyarat dalam ayat tersebut setelah menjelaskan makna </w:t>
      </w:r>
      <w:r>
        <w:rPr>
          <w:i/>
          <w:iCs/>
          <w:lang w:val="id-ID"/>
        </w:rPr>
        <w:t xml:space="preserve">dzahir </w:t>
      </w:r>
      <w:r>
        <w:rPr>
          <w:lang w:val="id-ID"/>
        </w:rPr>
        <w:t>ayat.</w:t>
      </w:r>
      <w:r>
        <w:rPr>
          <w:rStyle w:val="FootnoteReference"/>
          <w:lang w:val="id-ID"/>
        </w:rPr>
        <w:footnoteReference w:id="12"/>
      </w:r>
      <w:r>
        <w:rPr>
          <w:lang w:val="id-ID"/>
        </w:rPr>
        <w:t xml:space="preserve"> Biasanya dengan memakai kalimat </w:t>
      </w:r>
      <w:r>
        <w:rPr>
          <w:rFonts w:hint="cs"/>
          <w:rtl/>
          <w:lang w:val="id-ID"/>
        </w:rPr>
        <w:t>"والإشارة منه"</w:t>
      </w:r>
      <w:r>
        <w:rPr>
          <w:lang w:val="id-ID"/>
        </w:rPr>
        <w:t xml:space="preserve"> atau </w:t>
      </w:r>
      <w:r>
        <w:rPr>
          <w:rFonts w:hint="cs"/>
          <w:rtl/>
          <w:lang w:val="id-ID"/>
        </w:rPr>
        <w:t>"أشار إلى</w:t>
      </w:r>
      <w:r>
        <w:rPr>
          <w:lang w:val="id-ID"/>
        </w:rPr>
        <w:t>” dan lain sebagainya.</w:t>
      </w:r>
    </w:p>
    <w:p w:rsidR="009B51F3" w:rsidRDefault="009B51F3" w:rsidP="009B51F3">
      <w:pPr>
        <w:pStyle w:val="ListParagraph"/>
        <w:spacing w:line="360" w:lineRule="auto"/>
        <w:ind w:left="0" w:firstLine="567"/>
        <w:jc w:val="both"/>
        <w:rPr>
          <w:lang w:val="id-ID"/>
        </w:rPr>
      </w:pPr>
      <w:r>
        <w:rPr>
          <w:lang w:val="id-ID"/>
        </w:rPr>
        <w:t xml:space="preserve">Seperti penafsiran terhadap surat </w:t>
      </w:r>
      <w:r w:rsidR="00D53C14">
        <w:rPr>
          <w:lang w:val="id-ID"/>
        </w:rPr>
        <w:t>Al-Baqarah: 15</w:t>
      </w:r>
    </w:p>
    <w:p w:rsidR="00D53C14" w:rsidRDefault="00D53C14" w:rsidP="009B51F3">
      <w:pPr>
        <w:pStyle w:val="ListParagraph"/>
        <w:spacing w:line="360" w:lineRule="auto"/>
        <w:ind w:left="0" w:firstLine="567"/>
        <w:jc w:val="both"/>
        <w:rPr>
          <w:lang w:val="id-ID"/>
        </w:rPr>
      </w:pPr>
      <w:r>
        <w:rPr>
          <w:noProof/>
        </w:rPr>
        <w:drawing>
          <wp:inline distT="0" distB="0" distL="0" distR="0">
            <wp:extent cx="4820323" cy="88594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thaif 5.PNG"/>
                    <pic:cNvPicPr/>
                  </pic:nvPicPr>
                  <pic:blipFill>
                    <a:blip r:embed="rId9">
                      <a:extLst>
                        <a:ext uri="{28A0092B-C50C-407E-A947-70E740481C1C}">
                          <a14:useLocalDpi xmlns:a14="http://schemas.microsoft.com/office/drawing/2010/main" val="0"/>
                        </a:ext>
                      </a:extLst>
                    </a:blip>
                    <a:stretch>
                      <a:fillRect/>
                    </a:stretch>
                  </pic:blipFill>
                  <pic:spPr>
                    <a:xfrm>
                      <a:off x="0" y="0"/>
                      <a:ext cx="4820323" cy="885949"/>
                    </a:xfrm>
                    <a:prstGeom prst="rect">
                      <a:avLst/>
                    </a:prstGeom>
                  </pic:spPr>
                </pic:pic>
              </a:graphicData>
            </a:graphic>
          </wp:inline>
        </w:drawing>
      </w:r>
    </w:p>
    <w:p w:rsidR="009B51F3" w:rsidRDefault="00D53C14" w:rsidP="00FD0D41">
      <w:pPr>
        <w:pStyle w:val="ListParagraph"/>
        <w:spacing w:line="360" w:lineRule="auto"/>
        <w:ind w:left="0" w:firstLine="567"/>
        <w:jc w:val="both"/>
        <w:rPr>
          <w:b/>
          <w:bCs/>
          <w:lang w:val="id-ID"/>
        </w:rPr>
      </w:pPr>
      <w:r>
        <w:rPr>
          <w:b/>
          <w:bCs/>
          <w:noProof/>
        </w:rPr>
        <w:drawing>
          <wp:inline distT="0" distB="0" distL="0" distR="0">
            <wp:extent cx="4763165" cy="181952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thaif 6.PNG"/>
                    <pic:cNvPicPr/>
                  </pic:nvPicPr>
                  <pic:blipFill>
                    <a:blip r:embed="rId10">
                      <a:extLst>
                        <a:ext uri="{28A0092B-C50C-407E-A947-70E740481C1C}">
                          <a14:useLocalDpi xmlns:a14="http://schemas.microsoft.com/office/drawing/2010/main" val="0"/>
                        </a:ext>
                      </a:extLst>
                    </a:blip>
                    <a:stretch>
                      <a:fillRect/>
                    </a:stretch>
                  </pic:blipFill>
                  <pic:spPr>
                    <a:xfrm>
                      <a:off x="0" y="0"/>
                      <a:ext cx="4763165" cy="1819529"/>
                    </a:xfrm>
                    <a:prstGeom prst="rect">
                      <a:avLst/>
                    </a:prstGeom>
                  </pic:spPr>
                </pic:pic>
              </a:graphicData>
            </a:graphic>
          </wp:inline>
        </w:drawing>
      </w:r>
    </w:p>
    <w:p w:rsidR="00D53C14" w:rsidRPr="00D53C14" w:rsidRDefault="00D53C14" w:rsidP="00FD0D41">
      <w:pPr>
        <w:pStyle w:val="ListParagraph"/>
        <w:spacing w:line="360" w:lineRule="auto"/>
        <w:ind w:left="0" w:firstLine="567"/>
        <w:jc w:val="both"/>
        <w:rPr>
          <w:lang w:val="id-ID"/>
        </w:rPr>
      </w:pPr>
      <w:r>
        <w:rPr>
          <w:lang w:val="id-ID"/>
        </w:rPr>
        <w:t xml:space="preserve">Al-Qusyairi menjelaskan dalam ayat ini isyarat bahwa orang-orang munafik, ketika mereka diseru kepada kebaikan, mereka mensifati orang-orang muslim dengan sifat bodoh, begitupula orang-orang kaya (duniawi) apabila diajak untuk meninggalkan (urusan) dunia, mereka mensifati orang-orang yang memberi petunjuk dengan sifat malas dan bodoh, dan mereka berkata bahwa sesungguhnya orang-orang fakir tidaklah memiliki apa-apa karena mereka tidak memiliki harta, kehormatan, peristirahatan, dan kehidupan, yang mana yang sebenarnya merekalah orang-orang fakir dan mereka sedang diuji; jatuh kedalam </w:t>
      </w:r>
      <w:r w:rsidR="00AF4002">
        <w:rPr>
          <w:lang w:val="id-ID"/>
        </w:rPr>
        <w:t>jurang kehinaan; mereka beranggapan untuk mempunyai istana-istana tetapi sesungguhnya mereka tinggal di dalam kubur, mereka dihiasi oleh perhiasan dunia, tetapi sesungguhnya dimasukkan ke dalam liang lahad, mereka benar-benar terlena dan dalam jangka waktu pendek, mereka akan mengetahui (apa yang sebenarnya mereka dapatkan) ketika ilmunya tidak bermanfaat dan hartanya tidak memberi pertolongan apapun.</w:t>
      </w:r>
      <w:r w:rsidR="00AF4002">
        <w:rPr>
          <w:rStyle w:val="FootnoteReference"/>
          <w:lang w:val="id-ID"/>
        </w:rPr>
        <w:footnoteReference w:id="13"/>
      </w:r>
    </w:p>
    <w:p w:rsidR="00FD0D41" w:rsidRPr="00FD0D41" w:rsidRDefault="005A13C9" w:rsidP="00FD0D41">
      <w:pPr>
        <w:pStyle w:val="ListParagraph"/>
        <w:spacing w:line="360" w:lineRule="auto"/>
        <w:ind w:left="0" w:firstLine="567"/>
        <w:jc w:val="both"/>
        <w:rPr>
          <w:b/>
          <w:bCs/>
          <w:lang w:val="id-ID"/>
        </w:rPr>
      </w:pPr>
      <w:r>
        <w:rPr>
          <w:b/>
          <w:bCs/>
          <w:lang w:val="id-ID"/>
        </w:rPr>
        <w:lastRenderedPageBreak/>
        <w:t>2.4.2</w:t>
      </w:r>
      <w:r w:rsidR="00FD0D41" w:rsidRPr="00FD0D41">
        <w:rPr>
          <w:b/>
          <w:bCs/>
          <w:lang w:val="id-ID"/>
        </w:rPr>
        <w:t xml:space="preserve">. </w:t>
      </w:r>
      <w:r w:rsidR="00FD0D41">
        <w:rPr>
          <w:b/>
          <w:bCs/>
          <w:lang w:val="id-ID"/>
        </w:rPr>
        <w:t xml:space="preserve">Menafsirkan </w:t>
      </w:r>
      <w:r w:rsidR="00FD0D41">
        <w:rPr>
          <w:b/>
          <w:bCs/>
          <w:i/>
          <w:iCs/>
          <w:lang w:val="id-ID"/>
        </w:rPr>
        <w:t xml:space="preserve">Basmalah </w:t>
      </w:r>
      <w:r w:rsidR="00FD0D41">
        <w:rPr>
          <w:b/>
          <w:bCs/>
          <w:lang w:val="id-ID"/>
        </w:rPr>
        <w:t>di setiap permulaan surat dengan menunjukkan isyarat yang berbeda</w:t>
      </w:r>
    </w:p>
    <w:p w:rsidR="00FB371F" w:rsidRDefault="00FD0D41" w:rsidP="009E35A3">
      <w:pPr>
        <w:pStyle w:val="ListParagraph"/>
        <w:spacing w:line="360" w:lineRule="auto"/>
        <w:ind w:left="0" w:firstLine="567"/>
        <w:jc w:val="both"/>
        <w:rPr>
          <w:lang w:val="id-ID"/>
        </w:rPr>
      </w:pPr>
      <w:r>
        <w:rPr>
          <w:lang w:val="id-ID"/>
        </w:rPr>
        <w:t>Dalam</w:t>
      </w:r>
      <w:r w:rsidR="001159FB">
        <w:rPr>
          <w:lang w:val="id-ID"/>
        </w:rPr>
        <w:t xml:space="preserve"> menafsirkan </w:t>
      </w:r>
      <w:r w:rsidR="001159FB">
        <w:rPr>
          <w:i/>
          <w:iCs/>
          <w:lang w:val="id-ID"/>
        </w:rPr>
        <w:t xml:space="preserve">basmalah, </w:t>
      </w:r>
      <w:r w:rsidR="001159FB">
        <w:rPr>
          <w:lang w:val="id-ID"/>
        </w:rPr>
        <w:t xml:space="preserve">al-Qusyairi menjelaskan bahwa </w:t>
      </w:r>
      <w:r w:rsidR="001159FB">
        <w:rPr>
          <w:i/>
          <w:iCs/>
          <w:lang w:val="id-ID"/>
        </w:rPr>
        <w:t xml:space="preserve">basmalah </w:t>
      </w:r>
      <w:r w:rsidR="001159FB">
        <w:rPr>
          <w:lang w:val="id-ID"/>
        </w:rPr>
        <w:t>dalam setiap surat mempunyai isyarat yang berbeda-beda. Contohnya pada permulaan surat Yusuf</w:t>
      </w:r>
      <w:r w:rsidR="003535EC">
        <w:rPr>
          <w:lang w:val="id-ID"/>
        </w:rPr>
        <w:t xml:space="preserve">; </w:t>
      </w:r>
    </w:p>
    <w:p w:rsidR="003535EC" w:rsidRDefault="00050895" w:rsidP="009E35A3">
      <w:pPr>
        <w:pStyle w:val="ListParagraph"/>
        <w:spacing w:line="360" w:lineRule="auto"/>
        <w:ind w:left="0" w:firstLine="567"/>
        <w:jc w:val="both"/>
        <w:rPr>
          <w:lang w:val="id-ID"/>
        </w:rPr>
      </w:pPr>
      <w:r>
        <w:rPr>
          <w:noProof/>
        </w:rPr>
        <w:drawing>
          <wp:inline distT="0" distB="0" distL="0" distR="0">
            <wp:extent cx="5058481" cy="205768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haif.PNG"/>
                    <pic:cNvPicPr/>
                  </pic:nvPicPr>
                  <pic:blipFill>
                    <a:blip r:embed="rId11">
                      <a:extLst>
                        <a:ext uri="{28A0092B-C50C-407E-A947-70E740481C1C}">
                          <a14:useLocalDpi xmlns:a14="http://schemas.microsoft.com/office/drawing/2010/main" val="0"/>
                        </a:ext>
                      </a:extLst>
                    </a:blip>
                    <a:stretch>
                      <a:fillRect/>
                    </a:stretch>
                  </pic:blipFill>
                  <pic:spPr>
                    <a:xfrm>
                      <a:off x="0" y="0"/>
                      <a:ext cx="5058481" cy="2057687"/>
                    </a:xfrm>
                    <a:prstGeom prst="rect">
                      <a:avLst/>
                    </a:prstGeom>
                  </pic:spPr>
                </pic:pic>
              </a:graphicData>
            </a:graphic>
          </wp:inline>
        </w:drawing>
      </w:r>
    </w:p>
    <w:p w:rsidR="00D95B56" w:rsidRDefault="00050895" w:rsidP="009E35A3">
      <w:pPr>
        <w:pStyle w:val="ListParagraph"/>
        <w:spacing w:line="360" w:lineRule="auto"/>
        <w:ind w:left="0" w:firstLine="567"/>
        <w:jc w:val="both"/>
        <w:rPr>
          <w:lang w:val="id-ID"/>
        </w:rPr>
      </w:pPr>
      <w:r>
        <w:rPr>
          <w:lang w:val="id-ID"/>
        </w:rPr>
        <w:t xml:space="preserve">Kata </w:t>
      </w:r>
      <w:r>
        <w:rPr>
          <w:rFonts w:hint="cs"/>
          <w:rtl/>
          <w:lang w:val="id-ID"/>
        </w:rPr>
        <w:t>اسم</w:t>
      </w:r>
      <w:r>
        <w:rPr>
          <w:lang w:val="id-ID"/>
        </w:rPr>
        <w:t xml:space="preserve"> dalam </w:t>
      </w:r>
      <w:r>
        <w:rPr>
          <w:i/>
          <w:iCs/>
          <w:lang w:val="id-ID"/>
        </w:rPr>
        <w:t xml:space="preserve">basmalah </w:t>
      </w:r>
      <w:r>
        <w:rPr>
          <w:lang w:val="id-ID"/>
        </w:rPr>
        <w:t xml:space="preserve">berasal dari kata </w:t>
      </w:r>
      <w:r>
        <w:rPr>
          <w:rFonts w:hint="cs"/>
          <w:rtl/>
          <w:lang w:val="id-ID"/>
        </w:rPr>
        <w:t>وسم</w:t>
      </w:r>
      <w:r>
        <w:rPr>
          <w:lang w:val="id-ID"/>
        </w:rPr>
        <w:t xml:space="preserve"> (menyematkan), artinya barangsiapa dalam (keadaan) dzahirnya menyematkan dirinya dalam </w:t>
      </w:r>
      <w:r w:rsidR="00D00031">
        <w:rPr>
          <w:i/>
          <w:iCs/>
          <w:lang w:val="id-ID"/>
        </w:rPr>
        <w:t xml:space="preserve">ubudiyyah </w:t>
      </w:r>
      <w:r w:rsidR="00D00031">
        <w:rPr>
          <w:lang w:val="id-ID"/>
        </w:rPr>
        <w:t xml:space="preserve">dan dalam (keadaan) </w:t>
      </w:r>
      <w:r w:rsidR="00D00031">
        <w:rPr>
          <w:i/>
          <w:iCs/>
          <w:lang w:val="id-ID"/>
        </w:rPr>
        <w:t xml:space="preserve">sirr </w:t>
      </w:r>
      <w:r w:rsidR="00D00031">
        <w:rPr>
          <w:lang w:val="id-ID"/>
        </w:rPr>
        <w:t>menyemat</w:t>
      </w:r>
      <w:r w:rsidR="003E724E">
        <w:rPr>
          <w:lang w:val="id-ID"/>
        </w:rPr>
        <w:t xml:space="preserve">kan dirinya dalam kesaksian </w:t>
      </w:r>
      <w:r w:rsidR="003E724E">
        <w:rPr>
          <w:i/>
          <w:iCs/>
          <w:lang w:val="id-ID"/>
        </w:rPr>
        <w:t xml:space="preserve">rububiyah, </w:t>
      </w:r>
      <w:r w:rsidR="000C1479">
        <w:rPr>
          <w:lang w:val="id-ID"/>
        </w:rPr>
        <w:t>maka te</w:t>
      </w:r>
    </w:p>
    <w:p w:rsidR="00050895" w:rsidRDefault="000C1479" w:rsidP="009E35A3">
      <w:pPr>
        <w:pStyle w:val="ListParagraph"/>
        <w:spacing w:line="360" w:lineRule="auto"/>
        <w:ind w:left="0" w:firstLine="567"/>
        <w:jc w:val="both"/>
        <w:rPr>
          <w:lang w:val="id-ID"/>
        </w:rPr>
      </w:pPr>
      <w:r>
        <w:rPr>
          <w:lang w:val="id-ID"/>
        </w:rPr>
        <w:t>rsemat kepada tingkatan yang paling tertinggi dan mencapainya</w:t>
      </w:r>
    </w:p>
    <w:p w:rsidR="000C1479" w:rsidRDefault="000C1479" w:rsidP="009E35A3">
      <w:pPr>
        <w:pStyle w:val="ListParagraph"/>
        <w:spacing w:line="360" w:lineRule="auto"/>
        <w:ind w:left="0" w:firstLine="567"/>
        <w:jc w:val="both"/>
        <w:rPr>
          <w:lang w:val="id-ID"/>
        </w:rPr>
      </w:pPr>
      <w:r>
        <w:rPr>
          <w:lang w:val="id-ID"/>
        </w:rPr>
        <w:t xml:space="preserve">Atau sesungguhnya diambil dari kata </w:t>
      </w:r>
      <w:r>
        <w:rPr>
          <w:rFonts w:hint="cs"/>
          <w:i/>
          <w:iCs/>
          <w:rtl/>
          <w:lang w:val="id-ID"/>
        </w:rPr>
        <w:t>سمة</w:t>
      </w:r>
      <w:r>
        <w:rPr>
          <w:i/>
          <w:iCs/>
          <w:lang w:val="id-ID"/>
        </w:rPr>
        <w:t xml:space="preserve"> </w:t>
      </w:r>
      <w:r>
        <w:rPr>
          <w:lang w:val="id-ID"/>
        </w:rPr>
        <w:t xml:space="preserve"> atau </w:t>
      </w:r>
      <w:r>
        <w:rPr>
          <w:rFonts w:hint="cs"/>
          <w:i/>
          <w:iCs/>
          <w:rtl/>
          <w:lang w:val="id-ID"/>
        </w:rPr>
        <w:t>سمو</w:t>
      </w:r>
      <w:r>
        <w:rPr>
          <w:lang w:val="id-ID"/>
        </w:rPr>
        <w:t xml:space="preserve">  (tinggi)</w:t>
      </w:r>
    </w:p>
    <w:p w:rsidR="000C1479" w:rsidRPr="000C1479" w:rsidRDefault="000C1479" w:rsidP="009E35A3">
      <w:pPr>
        <w:pStyle w:val="ListParagraph"/>
        <w:spacing w:line="360" w:lineRule="auto"/>
        <w:ind w:left="0" w:firstLine="567"/>
        <w:jc w:val="both"/>
        <w:rPr>
          <w:i/>
          <w:iCs/>
          <w:lang w:val="id-ID"/>
        </w:rPr>
      </w:pPr>
      <w:r>
        <w:rPr>
          <w:lang w:val="id-ID"/>
        </w:rPr>
        <w:t xml:space="preserve">Dan nama Allah didahulukan dalam lafadz </w:t>
      </w:r>
      <w:r>
        <w:rPr>
          <w:i/>
          <w:iCs/>
          <w:lang w:val="id-ID"/>
        </w:rPr>
        <w:t xml:space="preserve">basmalah </w:t>
      </w:r>
      <w:r>
        <w:rPr>
          <w:lang w:val="id-ID"/>
        </w:rPr>
        <w:t xml:space="preserve">dari dua isim setelahnya </w:t>
      </w:r>
      <w:r>
        <w:rPr>
          <w:rFonts w:hint="cs"/>
          <w:i/>
          <w:iCs/>
          <w:rtl/>
          <w:lang w:val="id-ID"/>
        </w:rPr>
        <w:t>الرحمن الرحيم</w:t>
      </w:r>
      <w:r>
        <w:rPr>
          <w:i/>
          <w:iCs/>
          <w:lang w:val="id-ID"/>
        </w:rPr>
        <w:t xml:space="preserve"> </w:t>
      </w:r>
      <w:r>
        <w:rPr>
          <w:lang w:val="id-ID"/>
        </w:rPr>
        <w:t>dengan tujuan dan hikmah tertentu</w:t>
      </w:r>
      <w:r>
        <w:rPr>
          <w:i/>
          <w:iCs/>
          <w:lang w:val="id-ID"/>
        </w:rPr>
        <w:t xml:space="preserve"> </w:t>
      </w:r>
      <w:r>
        <w:rPr>
          <w:lang w:val="id-ID"/>
        </w:rPr>
        <w:t xml:space="preserve">yang artinya bahwa dengan rahmat duniawi-Nya, seorang hamba akan sampai kepada </w:t>
      </w:r>
      <w:r>
        <w:rPr>
          <w:i/>
          <w:iCs/>
          <w:lang w:val="id-ID"/>
        </w:rPr>
        <w:t>ma’rifat ilahiyyah.</w:t>
      </w:r>
    </w:p>
    <w:p w:rsidR="00326BB6" w:rsidRDefault="002576EF" w:rsidP="009E35A3">
      <w:pPr>
        <w:pStyle w:val="ListParagraph"/>
        <w:spacing w:line="360" w:lineRule="auto"/>
        <w:ind w:left="0" w:firstLine="567"/>
        <w:jc w:val="both"/>
        <w:rPr>
          <w:lang w:val="id-ID"/>
        </w:rPr>
      </w:pPr>
      <w:r>
        <w:rPr>
          <w:lang w:val="id-ID"/>
        </w:rPr>
        <w:t xml:space="preserve">Dan </w:t>
      </w:r>
      <w:r>
        <w:rPr>
          <w:i/>
          <w:iCs/>
          <w:lang w:val="id-ID"/>
        </w:rPr>
        <w:t xml:space="preserve">Isyarah </w:t>
      </w:r>
      <w:r>
        <w:rPr>
          <w:lang w:val="id-ID"/>
        </w:rPr>
        <w:t xml:space="preserve">dari huruf ba’ dalam </w:t>
      </w:r>
      <w:r>
        <w:rPr>
          <w:i/>
          <w:iCs/>
          <w:lang w:val="id-ID"/>
        </w:rPr>
        <w:t xml:space="preserve">basmalah </w:t>
      </w:r>
      <w:r w:rsidR="00D95B56">
        <w:rPr>
          <w:lang w:val="id-ID"/>
        </w:rPr>
        <w:t xml:space="preserve">yang </w:t>
      </w:r>
      <w:r>
        <w:rPr>
          <w:lang w:val="id-ID"/>
        </w:rPr>
        <w:t xml:space="preserve">merupakan </w:t>
      </w:r>
      <w:r w:rsidR="00D95B56">
        <w:rPr>
          <w:lang w:val="id-ID"/>
        </w:rPr>
        <w:t>huruf untuk menunjukkan ketergantungan atau integrasi adalah bahwasanya (dengan-Nya) mengenal siapa yang mengenal-Nya dan (dengan-Nya pula) dan menjauh</w:t>
      </w:r>
      <w:r w:rsidR="00A65DCD">
        <w:rPr>
          <w:lang w:val="id-ID"/>
        </w:rPr>
        <w:t>i siapa yang menjauhi-Nya; mak</w:t>
      </w:r>
      <w:r w:rsidR="00D95B56">
        <w:rPr>
          <w:lang w:val="id-ID"/>
        </w:rPr>
        <w:t xml:space="preserve">a barangsiapa yang </w:t>
      </w:r>
      <w:r w:rsidR="00A65DCD">
        <w:rPr>
          <w:lang w:val="id-ID"/>
        </w:rPr>
        <w:t xml:space="preserve">sampai kepadanya dan mendapat </w:t>
      </w:r>
      <w:r w:rsidR="00A65DCD">
        <w:rPr>
          <w:i/>
          <w:iCs/>
          <w:lang w:val="id-ID"/>
        </w:rPr>
        <w:t xml:space="preserve">ihsan-Nya, </w:t>
      </w:r>
      <w:r w:rsidR="00A65DCD">
        <w:rPr>
          <w:lang w:val="id-ID"/>
        </w:rPr>
        <w:t>dan barangsiapa yang menajuhi-Nya maka niscaya akan selalu terikat dengan kehinaannya.</w:t>
      </w:r>
      <w:r w:rsidR="00A65DCD">
        <w:rPr>
          <w:rStyle w:val="FootnoteReference"/>
          <w:lang w:val="id-ID"/>
        </w:rPr>
        <w:footnoteReference w:id="14"/>
      </w:r>
    </w:p>
    <w:p w:rsidR="00A65DCD" w:rsidRDefault="00A65DCD" w:rsidP="009E35A3">
      <w:pPr>
        <w:pStyle w:val="ListParagraph"/>
        <w:spacing w:line="360" w:lineRule="auto"/>
        <w:ind w:left="0" w:firstLine="567"/>
        <w:jc w:val="both"/>
        <w:rPr>
          <w:lang w:val="id-ID"/>
        </w:rPr>
      </w:pPr>
      <w:r>
        <w:rPr>
          <w:lang w:val="id-ID"/>
        </w:rPr>
        <w:t>Dan di permulaan surat al-Syams :</w:t>
      </w:r>
    </w:p>
    <w:p w:rsidR="00A65DCD" w:rsidRDefault="008E7434" w:rsidP="009E35A3">
      <w:pPr>
        <w:pStyle w:val="ListParagraph"/>
        <w:spacing w:line="360" w:lineRule="auto"/>
        <w:ind w:left="0" w:firstLine="567"/>
        <w:jc w:val="both"/>
        <w:rPr>
          <w:lang w:val="id-ID"/>
        </w:rPr>
      </w:pPr>
      <w:r>
        <w:rPr>
          <w:noProof/>
        </w:rPr>
        <w:drawing>
          <wp:inline distT="0" distB="0" distL="0" distR="0">
            <wp:extent cx="4839375" cy="1257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thaif 2.PNG"/>
                    <pic:cNvPicPr/>
                  </pic:nvPicPr>
                  <pic:blipFill>
                    <a:blip r:embed="rId12">
                      <a:extLst>
                        <a:ext uri="{28A0092B-C50C-407E-A947-70E740481C1C}">
                          <a14:useLocalDpi xmlns:a14="http://schemas.microsoft.com/office/drawing/2010/main" val="0"/>
                        </a:ext>
                      </a:extLst>
                    </a:blip>
                    <a:stretch>
                      <a:fillRect/>
                    </a:stretch>
                  </pic:blipFill>
                  <pic:spPr>
                    <a:xfrm>
                      <a:off x="0" y="0"/>
                      <a:ext cx="4839375" cy="1257475"/>
                    </a:xfrm>
                    <a:prstGeom prst="rect">
                      <a:avLst/>
                    </a:prstGeom>
                  </pic:spPr>
                </pic:pic>
              </a:graphicData>
            </a:graphic>
          </wp:inline>
        </w:drawing>
      </w:r>
    </w:p>
    <w:p w:rsidR="00A65DCD" w:rsidRDefault="008E7434" w:rsidP="009E35A3">
      <w:pPr>
        <w:pStyle w:val="ListParagraph"/>
        <w:spacing w:line="360" w:lineRule="auto"/>
        <w:ind w:left="0" w:firstLine="567"/>
        <w:jc w:val="both"/>
        <w:rPr>
          <w:lang w:val="id-ID"/>
        </w:rPr>
      </w:pPr>
      <w:r>
        <w:rPr>
          <w:i/>
          <w:iCs/>
          <w:lang w:val="id-ID"/>
        </w:rPr>
        <w:lastRenderedPageBreak/>
        <w:t>“</w:t>
      </w:r>
      <w:r w:rsidR="00CA3557" w:rsidRPr="00CA3557">
        <w:rPr>
          <w:rFonts w:hint="cs"/>
          <w:rtl/>
          <w:lang w:val="id-ID"/>
        </w:rPr>
        <w:t>بسم الله</w:t>
      </w:r>
      <w:r>
        <w:rPr>
          <w:i/>
          <w:iCs/>
          <w:lang w:val="id-ID"/>
        </w:rPr>
        <w:t xml:space="preserve">” </w:t>
      </w:r>
      <w:r>
        <w:rPr>
          <w:lang w:val="id-ID"/>
        </w:rPr>
        <w:t xml:space="preserve">merupakan berita tentang adanya sang </w:t>
      </w:r>
      <w:r>
        <w:rPr>
          <w:i/>
          <w:iCs/>
          <w:lang w:val="id-ID"/>
        </w:rPr>
        <w:t xml:space="preserve">al-Haqq </w:t>
      </w:r>
      <w:r>
        <w:rPr>
          <w:lang w:val="id-ID"/>
        </w:rPr>
        <w:t xml:space="preserve">dengan sifat </w:t>
      </w:r>
      <w:r w:rsidR="00CA3557">
        <w:rPr>
          <w:i/>
          <w:iCs/>
          <w:lang w:val="id-ID"/>
        </w:rPr>
        <w:t>Qidam</w:t>
      </w:r>
      <w:r w:rsidR="00CA3557">
        <w:rPr>
          <w:lang w:val="id-ID"/>
        </w:rPr>
        <w:t>-Nya, sedangkan “</w:t>
      </w:r>
      <w:r w:rsidR="00CA3557">
        <w:rPr>
          <w:rFonts w:hint="cs"/>
          <w:rtl/>
          <w:lang w:val="id-ID"/>
        </w:rPr>
        <w:t>الرحمن الرحيم</w:t>
      </w:r>
      <w:r w:rsidR="00CA3557">
        <w:rPr>
          <w:lang w:val="id-ID"/>
        </w:rPr>
        <w:t xml:space="preserve">” merupakan berita keabadian-Nya </w:t>
      </w:r>
      <w:r w:rsidR="00CA3557">
        <w:rPr>
          <w:i/>
          <w:iCs/>
          <w:lang w:val="id-ID"/>
        </w:rPr>
        <w:t xml:space="preserve">(Baqa) </w:t>
      </w:r>
      <w:r w:rsidR="00CA3557">
        <w:rPr>
          <w:lang w:val="id-ID"/>
        </w:rPr>
        <w:t xml:space="preserve">dengan sifat </w:t>
      </w:r>
      <w:r w:rsidR="00CA3557">
        <w:rPr>
          <w:i/>
          <w:iCs/>
          <w:lang w:val="id-ID"/>
        </w:rPr>
        <w:t xml:space="preserve">al-‘Alaa </w:t>
      </w:r>
      <w:r w:rsidR="00CA3557">
        <w:rPr>
          <w:lang w:val="id-ID"/>
        </w:rPr>
        <w:t xml:space="preserve">dan </w:t>
      </w:r>
      <w:r w:rsidR="00CA3557">
        <w:rPr>
          <w:i/>
          <w:iCs/>
          <w:lang w:val="id-ID"/>
        </w:rPr>
        <w:t xml:space="preserve">al-Karam </w:t>
      </w:r>
      <w:r w:rsidR="00CA3557">
        <w:rPr>
          <w:lang w:val="id-ID"/>
        </w:rPr>
        <w:t xml:space="preserve">(agung serta mulia). Ruh akan terbuka </w:t>
      </w:r>
      <w:r w:rsidR="00F424F7">
        <w:rPr>
          <w:lang w:val="id-ID"/>
        </w:rPr>
        <w:t xml:space="preserve">dengan </w:t>
      </w:r>
      <w:r w:rsidR="00F424F7">
        <w:rPr>
          <w:i/>
          <w:iCs/>
          <w:lang w:val="id-ID"/>
        </w:rPr>
        <w:t>“</w:t>
      </w:r>
      <w:r w:rsidR="00F424F7" w:rsidRPr="00CA3557">
        <w:rPr>
          <w:rFonts w:hint="cs"/>
          <w:rtl/>
          <w:lang w:val="id-ID"/>
        </w:rPr>
        <w:t>بسم الله</w:t>
      </w:r>
      <w:r w:rsidR="00F424F7">
        <w:rPr>
          <w:i/>
          <w:iCs/>
          <w:lang w:val="id-ID"/>
        </w:rPr>
        <w:t xml:space="preserve">” </w:t>
      </w:r>
      <w:r w:rsidR="00F424F7">
        <w:rPr>
          <w:lang w:val="id-ID"/>
        </w:rPr>
        <w:t>sedangkan jiwa akan terbuka dengan “</w:t>
      </w:r>
      <w:r w:rsidR="00F424F7">
        <w:rPr>
          <w:rFonts w:hint="cs"/>
          <w:rtl/>
          <w:lang w:val="id-ID"/>
        </w:rPr>
        <w:t>الرحمن الرحيم</w:t>
      </w:r>
      <w:r w:rsidR="00F424F7">
        <w:rPr>
          <w:lang w:val="id-ID"/>
        </w:rPr>
        <w:t>”; Ruh akan selalu haus akan terbukanya keagungan Tuhan sedangkan jiwa selalu haus akan kelembutan keindahan-Nya.</w:t>
      </w:r>
      <w:r w:rsidR="00F424F7">
        <w:rPr>
          <w:rStyle w:val="FootnoteReference"/>
          <w:lang w:val="id-ID"/>
        </w:rPr>
        <w:footnoteReference w:id="15"/>
      </w:r>
    </w:p>
    <w:p w:rsidR="006E2F50" w:rsidRDefault="00FD0D41" w:rsidP="009E35A3">
      <w:pPr>
        <w:pStyle w:val="ListParagraph"/>
        <w:spacing w:line="360" w:lineRule="auto"/>
        <w:ind w:left="0" w:firstLine="567"/>
        <w:jc w:val="both"/>
        <w:rPr>
          <w:b/>
          <w:bCs/>
          <w:lang w:val="id-ID"/>
        </w:rPr>
      </w:pPr>
      <w:r>
        <w:rPr>
          <w:b/>
          <w:bCs/>
          <w:lang w:val="id-ID"/>
        </w:rPr>
        <w:t>2.4.3</w:t>
      </w:r>
      <w:r w:rsidR="006E2F50">
        <w:rPr>
          <w:b/>
          <w:bCs/>
          <w:lang w:val="id-ID"/>
        </w:rPr>
        <w:t>. Menyebutkan pendapat para ulama tanpa menisbatkan kepada namannya</w:t>
      </w:r>
    </w:p>
    <w:p w:rsidR="006E2F50" w:rsidRPr="009E35A3" w:rsidRDefault="006E2F50" w:rsidP="009E35A3">
      <w:pPr>
        <w:pStyle w:val="ListParagraph"/>
        <w:spacing w:line="360" w:lineRule="auto"/>
        <w:ind w:left="0" w:firstLine="567"/>
        <w:jc w:val="both"/>
        <w:rPr>
          <w:lang w:val="id-ID"/>
        </w:rPr>
      </w:pPr>
      <w:r>
        <w:rPr>
          <w:lang w:val="id-ID"/>
        </w:rPr>
        <w:t xml:space="preserve">Dalam menyusun </w:t>
      </w:r>
      <w:r w:rsidR="000362E6">
        <w:rPr>
          <w:lang w:val="id-ID"/>
        </w:rPr>
        <w:t xml:space="preserve">kitab tafsirnya, al-Qusyairi tidak mengabaikan pendapat para ulama pendahulunya, namun dalam </w:t>
      </w:r>
      <w:r w:rsidR="009E35A3">
        <w:rPr>
          <w:lang w:val="id-ID"/>
        </w:rPr>
        <w:t>mengutip pendapat tersebut, al-Qusyairi jarang atau bahkan tidak pernah menyebutkan nama ulama yang dikutipnya, melainkan hanya mengisyaratkan dengan kalimat “</w:t>
      </w:r>
      <w:r w:rsidR="009E35A3">
        <w:rPr>
          <w:rFonts w:hint="cs"/>
          <w:rtl/>
          <w:lang w:val="id-ID"/>
        </w:rPr>
        <w:t>قيل</w:t>
      </w:r>
      <w:r w:rsidR="009E35A3">
        <w:rPr>
          <w:lang w:val="id-ID"/>
        </w:rPr>
        <w:t>” atau “</w:t>
      </w:r>
      <w:r w:rsidR="009E35A3">
        <w:rPr>
          <w:rFonts w:hint="cs"/>
          <w:rtl/>
          <w:lang w:val="id-ID"/>
        </w:rPr>
        <w:t>يقال</w:t>
      </w:r>
      <w:r w:rsidR="009E35A3">
        <w:rPr>
          <w:lang w:val="id-ID"/>
        </w:rPr>
        <w:t>”.</w:t>
      </w:r>
      <w:r w:rsidR="009E35A3">
        <w:rPr>
          <w:rStyle w:val="FootnoteReference"/>
          <w:lang w:val="id-ID"/>
        </w:rPr>
        <w:footnoteReference w:id="16"/>
      </w:r>
    </w:p>
    <w:p w:rsidR="00FB371F" w:rsidRDefault="009E35A3" w:rsidP="00B20791">
      <w:pPr>
        <w:pStyle w:val="ListParagraph"/>
        <w:spacing w:line="360" w:lineRule="auto"/>
        <w:ind w:left="450"/>
        <w:jc w:val="both"/>
        <w:rPr>
          <w:lang w:val="id-ID"/>
        </w:rPr>
      </w:pPr>
      <w:r>
        <w:rPr>
          <w:lang w:val="id-ID"/>
        </w:rPr>
        <w:t xml:space="preserve">Contohnya : </w:t>
      </w:r>
      <w:r w:rsidR="00B20791">
        <w:rPr>
          <w:lang w:val="id-ID"/>
        </w:rPr>
        <w:t xml:space="preserve">dalam menafsirkan </w:t>
      </w:r>
      <w:r w:rsidR="00B20791">
        <w:t xml:space="preserve">kata </w:t>
      </w:r>
      <w:r w:rsidR="00B20791" w:rsidRPr="00B20791">
        <w:rPr>
          <w:rFonts w:cs="Times New Roman"/>
          <w:rtl/>
          <w:lang w:val="id-ID"/>
        </w:rPr>
        <w:t>هُمَزَةٍ لُّمَزَةٍ</w:t>
      </w:r>
      <w:r w:rsidR="00B20791">
        <w:rPr>
          <w:lang w:val="id-ID"/>
        </w:rPr>
        <w:t xml:space="preserve"> al-Humazah: 1</w:t>
      </w:r>
    </w:p>
    <w:p w:rsidR="00B20791" w:rsidRPr="00B20791" w:rsidRDefault="00FD0D41" w:rsidP="00B20791">
      <w:pPr>
        <w:pStyle w:val="ListParagraph"/>
        <w:bidi/>
        <w:spacing w:line="360" w:lineRule="auto"/>
        <w:ind w:left="450"/>
        <w:jc w:val="both"/>
      </w:pPr>
      <w:r>
        <w:rPr>
          <w:noProof/>
        </w:rPr>
        <w:drawing>
          <wp:inline distT="0" distB="0" distL="0" distR="0">
            <wp:extent cx="4344006" cy="134321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thaif 3.PNG"/>
                    <pic:cNvPicPr/>
                  </pic:nvPicPr>
                  <pic:blipFill>
                    <a:blip r:embed="rId13">
                      <a:extLst>
                        <a:ext uri="{28A0092B-C50C-407E-A947-70E740481C1C}">
                          <a14:useLocalDpi xmlns:a14="http://schemas.microsoft.com/office/drawing/2010/main" val="0"/>
                        </a:ext>
                      </a:extLst>
                    </a:blip>
                    <a:stretch>
                      <a:fillRect/>
                    </a:stretch>
                  </pic:blipFill>
                  <pic:spPr>
                    <a:xfrm>
                      <a:off x="0" y="0"/>
                      <a:ext cx="4344006" cy="1343212"/>
                    </a:xfrm>
                    <a:prstGeom prst="rect">
                      <a:avLst/>
                    </a:prstGeom>
                  </pic:spPr>
                </pic:pic>
              </a:graphicData>
            </a:graphic>
          </wp:inline>
        </w:drawing>
      </w:r>
    </w:p>
    <w:p w:rsidR="00CA7089" w:rsidRDefault="00FD0D41" w:rsidP="00FD0D41">
      <w:pPr>
        <w:spacing w:line="360" w:lineRule="auto"/>
        <w:ind w:firstLine="567"/>
        <w:jc w:val="both"/>
        <w:rPr>
          <w:rFonts w:cs="Times New Roman"/>
          <w:lang w:val="id-ID"/>
        </w:rPr>
      </w:pPr>
      <w:r>
        <w:rPr>
          <w:lang w:val="id-ID"/>
        </w:rPr>
        <w:t xml:space="preserve">Dalam menafsirkan kata </w:t>
      </w:r>
      <w:r w:rsidRPr="00B20791">
        <w:rPr>
          <w:rFonts w:cs="Times New Roman"/>
          <w:rtl/>
          <w:lang w:val="id-ID"/>
        </w:rPr>
        <w:t>هُمَزَةٍ لُّمَزَةٍ</w:t>
      </w:r>
      <w:r w:rsidR="00BD4B5E">
        <w:rPr>
          <w:rFonts w:cs="Times New Roman"/>
          <w:lang w:val="id-ID"/>
        </w:rPr>
        <w:t xml:space="preserve">, al-Qusyairi mengemukakan 4 pendapat mengenai makna </w:t>
      </w:r>
      <w:r w:rsidR="00BD4B5E" w:rsidRPr="00B20791">
        <w:rPr>
          <w:rFonts w:cs="Times New Roman"/>
          <w:rtl/>
          <w:lang w:val="id-ID"/>
        </w:rPr>
        <w:t>هُمَزَةٍ لُّمَزَةٍ</w:t>
      </w:r>
    </w:p>
    <w:p w:rsidR="00BD4B5E" w:rsidRDefault="00BD4B5E" w:rsidP="00FD0D41">
      <w:pPr>
        <w:spacing w:line="360" w:lineRule="auto"/>
        <w:ind w:firstLine="567"/>
        <w:jc w:val="both"/>
        <w:rPr>
          <w:rFonts w:cs="Times New Roman"/>
          <w:i/>
          <w:iCs/>
          <w:lang w:val="id-ID"/>
        </w:rPr>
      </w:pPr>
      <w:r>
        <w:rPr>
          <w:rFonts w:cs="Times New Roman"/>
          <w:lang w:val="id-ID"/>
        </w:rPr>
        <w:t xml:space="preserve">Pertama; seorang </w:t>
      </w:r>
      <w:r w:rsidRPr="00B20791">
        <w:rPr>
          <w:rFonts w:cs="Times New Roman"/>
          <w:rtl/>
          <w:lang w:val="id-ID"/>
        </w:rPr>
        <w:t>هُمَزَةٍ لُّمَزَةٍ</w:t>
      </w:r>
      <w:r>
        <w:rPr>
          <w:rFonts w:cs="Times New Roman"/>
          <w:lang w:val="id-ID"/>
        </w:rPr>
        <w:t xml:space="preserve"> yaitu yang banyak (menyebarkan) aib dan </w:t>
      </w:r>
      <w:r>
        <w:rPr>
          <w:rFonts w:cs="Times New Roman"/>
          <w:i/>
          <w:iCs/>
          <w:lang w:val="id-ID"/>
        </w:rPr>
        <w:t>ghibah</w:t>
      </w:r>
    </w:p>
    <w:p w:rsidR="00BD4B5E" w:rsidRDefault="00BD4B5E" w:rsidP="00FD0D41">
      <w:pPr>
        <w:spacing w:line="360" w:lineRule="auto"/>
        <w:ind w:firstLine="567"/>
        <w:jc w:val="both"/>
        <w:rPr>
          <w:rFonts w:cs="Times New Roman"/>
          <w:lang w:val="id-ID"/>
        </w:rPr>
      </w:pPr>
      <w:r>
        <w:rPr>
          <w:rFonts w:cs="Times New Roman"/>
          <w:lang w:val="id-ID"/>
        </w:rPr>
        <w:t xml:space="preserve">Kedua; </w:t>
      </w:r>
      <w:r>
        <w:rPr>
          <w:rFonts w:cs="Times New Roman" w:hint="cs"/>
          <w:rtl/>
          <w:lang w:val="id-ID"/>
        </w:rPr>
        <w:t>الهمزة</w:t>
      </w:r>
      <w:r>
        <w:rPr>
          <w:rFonts w:cs="Times New Roman"/>
          <w:lang w:val="id-ID"/>
        </w:rPr>
        <w:t xml:space="preserve"> yang mencela atau mengumpat di depan wajahnya, dan </w:t>
      </w:r>
      <w:r>
        <w:rPr>
          <w:rFonts w:cs="Times New Roman" w:hint="cs"/>
          <w:rtl/>
          <w:lang w:val="id-ID"/>
        </w:rPr>
        <w:t>اللمزة</w:t>
      </w:r>
      <w:r w:rsidRPr="00BD4B5E">
        <w:rPr>
          <w:rFonts w:cs="Times New Roman"/>
          <w:lang w:val="id-ID"/>
        </w:rPr>
        <w:t xml:space="preserve"> yang mencela </w:t>
      </w:r>
      <w:r>
        <w:rPr>
          <w:rFonts w:cs="Times New Roman"/>
          <w:lang w:val="id-ID"/>
        </w:rPr>
        <w:t>atau mengumpat dibelakangnya</w:t>
      </w:r>
    </w:p>
    <w:p w:rsidR="00BD4B5E" w:rsidRDefault="00BD4B5E" w:rsidP="00BD4B5E">
      <w:pPr>
        <w:spacing w:line="360" w:lineRule="auto"/>
        <w:ind w:firstLine="567"/>
        <w:jc w:val="both"/>
        <w:rPr>
          <w:rFonts w:cs="Times New Roman"/>
          <w:lang w:val="id-ID"/>
        </w:rPr>
      </w:pPr>
      <w:r>
        <w:rPr>
          <w:rFonts w:cs="Times New Roman"/>
          <w:lang w:val="id-ID"/>
        </w:rPr>
        <w:t xml:space="preserve">Ketiga; </w:t>
      </w:r>
      <w:r>
        <w:rPr>
          <w:rFonts w:cs="Times New Roman" w:hint="cs"/>
          <w:rtl/>
          <w:lang w:val="id-ID"/>
        </w:rPr>
        <w:t>الهمزة</w:t>
      </w:r>
      <w:r>
        <w:rPr>
          <w:rFonts w:cs="Times New Roman"/>
          <w:lang w:val="id-ID"/>
        </w:rPr>
        <w:t xml:space="preserve"> mencela atau mengumpat dengan isyarat kepala, mata dan lain sebagainya, sedangkan </w:t>
      </w:r>
      <w:r>
        <w:rPr>
          <w:rFonts w:cs="Times New Roman" w:hint="cs"/>
          <w:rtl/>
          <w:lang w:val="id-ID"/>
        </w:rPr>
        <w:t>اللمزة</w:t>
      </w:r>
      <w:r>
        <w:rPr>
          <w:rFonts w:cs="Times New Roman"/>
          <w:lang w:val="id-ID"/>
        </w:rPr>
        <w:t xml:space="preserve"> mencela atau mengumpat dengan lisan</w:t>
      </w:r>
    </w:p>
    <w:p w:rsidR="00BD4B5E" w:rsidRDefault="00BD4B5E" w:rsidP="00BD7FBB">
      <w:pPr>
        <w:spacing w:line="360" w:lineRule="auto"/>
        <w:ind w:firstLine="567"/>
        <w:jc w:val="both"/>
        <w:rPr>
          <w:rFonts w:cs="Times New Roman"/>
          <w:lang w:val="id-ID"/>
        </w:rPr>
      </w:pPr>
      <w:r>
        <w:rPr>
          <w:rFonts w:cs="Times New Roman"/>
          <w:lang w:val="id-ID"/>
        </w:rPr>
        <w:t xml:space="preserve">Keempat; </w:t>
      </w:r>
      <w:r>
        <w:rPr>
          <w:rFonts w:cs="Times New Roman" w:hint="cs"/>
          <w:rtl/>
          <w:lang w:val="id-ID"/>
        </w:rPr>
        <w:t>الهمزة</w:t>
      </w:r>
      <w:r>
        <w:rPr>
          <w:rFonts w:cs="Times New Roman"/>
          <w:lang w:val="id-ID"/>
        </w:rPr>
        <w:t xml:space="preserve"> mencela atau mengumpat </w:t>
      </w:r>
      <w:r w:rsidR="00BD7FBB">
        <w:rPr>
          <w:rFonts w:cs="Times New Roman"/>
          <w:lang w:val="id-ID"/>
        </w:rPr>
        <w:t xml:space="preserve">apa yang berkenaan dengan manusia, sedangkan </w:t>
      </w:r>
      <w:r w:rsidR="00BD7FBB">
        <w:rPr>
          <w:rFonts w:cs="Times New Roman" w:hint="cs"/>
          <w:rtl/>
          <w:lang w:val="id-ID"/>
        </w:rPr>
        <w:t>اللمزة</w:t>
      </w:r>
      <w:r w:rsidR="00BD7FBB">
        <w:rPr>
          <w:rFonts w:cs="Times New Roman"/>
          <w:lang w:val="id-ID"/>
        </w:rPr>
        <w:t xml:space="preserve"> mencela atau mengumpat apa yang selain berkenaan dengan manusia.</w:t>
      </w:r>
      <w:r w:rsidR="002365F3">
        <w:rPr>
          <w:rStyle w:val="FootnoteReference"/>
          <w:rFonts w:cs="Times New Roman"/>
          <w:lang w:val="id-ID"/>
        </w:rPr>
        <w:footnoteReference w:id="17"/>
      </w:r>
    </w:p>
    <w:p w:rsidR="00BD7FBB" w:rsidRDefault="00BD7FBB" w:rsidP="00BD7FBB">
      <w:pPr>
        <w:spacing w:line="360" w:lineRule="auto"/>
        <w:ind w:firstLine="567"/>
        <w:jc w:val="both"/>
        <w:rPr>
          <w:rFonts w:cs="Times New Roman"/>
          <w:lang w:val="id-ID"/>
        </w:rPr>
      </w:pPr>
      <w:r>
        <w:rPr>
          <w:rFonts w:cs="Times New Roman"/>
          <w:lang w:val="id-ID"/>
        </w:rPr>
        <w:lastRenderedPageBreak/>
        <w:t>Dari keempat pendapat yang dikemukakan al-Qusyairi di atas, al-Qusyairi tidak menisbatkan pendapat tersebut kepada nama ulama, sehingga pembaca kesulitan menemukan referensi mana yag al-Qusyairi gunakan dalam menafsirkan ayat.</w:t>
      </w:r>
    </w:p>
    <w:p w:rsidR="00375AA5" w:rsidRDefault="00375AA5" w:rsidP="00375AA5">
      <w:pPr>
        <w:spacing w:line="360" w:lineRule="auto"/>
        <w:ind w:firstLine="567"/>
        <w:jc w:val="both"/>
        <w:rPr>
          <w:rFonts w:cs="Times New Roman"/>
          <w:b/>
          <w:bCs/>
          <w:lang w:val="id-ID"/>
        </w:rPr>
      </w:pPr>
      <w:r>
        <w:rPr>
          <w:rFonts w:cs="Times New Roman"/>
          <w:b/>
          <w:bCs/>
          <w:lang w:val="id-ID"/>
        </w:rPr>
        <w:t>2.4.4. Melengkapi keterang ayat dengan syair</w:t>
      </w:r>
    </w:p>
    <w:p w:rsidR="00BD7FBB" w:rsidRDefault="00497AA2" w:rsidP="00375AA5">
      <w:pPr>
        <w:spacing w:line="360" w:lineRule="auto"/>
        <w:ind w:firstLine="567"/>
        <w:jc w:val="both"/>
        <w:rPr>
          <w:lang w:val="id-ID"/>
        </w:rPr>
      </w:pPr>
      <w:r>
        <w:rPr>
          <w:lang w:val="id-ID"/>
        </w:rPr>
        <w:t xml:space="preserve"> </w:t>
      </w:r>
      <w:r w:rsidR="00375AA5">
        <w:rPr>
          <w:lang w:val="id-ID"/>
        </w:rPr>
        <w:t xml:space="preserve">Tidak jarang al-Qusyairi melengkapi penjelasannya dengan syair syair, baik syair-syir yang menunjukkan makna </w:t>
      </w:r>
      <w:r w:rsidR="009B794C">
        <w:rPr>
          <w:lang w:val="id-ID"/>
        </w:rPr>
        <w:t>ayat atau hikmah hikmah yang terkandung dalam ayat. Contoh penafsirannya terhadap surat al-Ankabut : 17</w:t>
      </w:r>
    </w:p>
    <w:p w:rsidR="009B794C" w:rsidRDefault="009B794C" w:rsidP="009B794C">
      <w:pPr>
        <w:bidi/>
        <w:spacing w:line="360" w:lineRule="auto"/>
        <w:ind w:firstLine="567"/>
        <w:jc w:val="both"/>
        <w:rPr>
          <w:rFonts w:cs="Times New Roman"/>
          <w:lang w:val="id-ID"/>
        </w:rPr>
      </w:pPr>
      <w:r w:rsidRPr="009B794C">
        <w:rPr>
          <w:rFonts w:cs="Times New Roman"/>
          <w:rtl/>
          <w:lang w:val="id-ID"/>
        </w:rPr>
        <w:t>إِنَّمَا تَعْبُدُونَ مِن دُونِ اللَّهِ أَوْثَاناً وَتَخْلُقُونَ إِفْكاً إِنَّ الَّذِينَ تَعْبُدُونَ مِن دُونِ اللَّهِ لَا يَمْلِكُونَ لَكُمْ رِزْقاً فَابْتَغُوا عِندَ اللَّهِ الرِّزْقَ وَاعْبُدُوهُ وَاشْكُرُوا لَهُ إِلَيْهِ تُرْجَعُونَ ﴿١٧﴾</w:t>
      </w:r>
    </w:p>
    <w:p w:rsidR="009B794C" w:rsidRDefault="009B794C" w:rsidP="009B794C">
      <w:pPr>
        <w:bidi/>
        <w:spacing w:line="360" w:lineRule="auto"/>
        <w:ind w:firstLine="567"/>
        <w:jc w:val="both"/>
        <w:rPr>
          <w:lang w:val="id-ID"/>
        </w:rPr>
      </w:pPr>
      <w:r>
        <w:rPr>
          <w:noProof/>
        </w:rPr>
        <w:drawing>
          <wp:inline distT="0" distB="0" distL="0" distR="0">
            <wp:extent cx="4820323" cy="79068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thaif 4.PNG"/>
                    <pic:cNvPicPr/>
                  </pic:nvPicPr>
                  <pic:blipFill>
                    <a:blip r:embed="rId14">
                      <a:extLst>
                        <a:ext uri="{28A0092B-C50C-407E-A947-70E740481C1C}">
                          <a14:useLocalDpi xmlns:a14="http://schemas.microsoft.com/office/drawing/2010/main" val="0"/>
                        </a:ext>
                      </a:extLst>
                    </a:blip>
                    <a:stretch>
                      <a:fillRect/>
                    </a:stretch>
                  </pic:blipFill>
                  <pic:spPr>
                    <a:xfrm>
                      <a:off x="0" y="0"/>
                      <a:ext cx="4820323" cy="790685"/>
                    </a:xfrm>
                    <a:prstGeom prst="rect">
                      <a:avLst/>
                    </a:prstGeom>
                  </pic:spPr>
                </pic:pic>
              </a:graphicData>
            </a:graphic>
          </wp:inline>
        </w:drawing>
      </w:r>
    </w:p>
    <w:p w:rsidR="009B794C" w:rsidRDefault="002410F3" w:rsidP="009B794C">
      <w:pPr>
        <w:spacing w:line="360" w:lineRule="auto"/>
        <w:ind w:firstLine="567"/>
        <w:jc w:val="both"/>
        <w:rPr>
          <w:lang w:val="id-ID"/>
        </w:rPr>
      </w:pPr>
      <w:r>
        <w:rPr>
          <w:lang w:val="id-ID"/>
        </w:rPr>
        <w:t>Didalam ayat, perintah untuk mencari rizki didahulukan daripada perintah untuk beribadah; karena tidak mungkin untuk menegakkan ibadah sebelum perkara terselesaikan; maka dengan kekuatanlah memungkinkan untuk mengerjakan ibadah, dan kekuatan berada dalam rizki (yang cukup).</w:t>
      </w:r>
      <w:r>
        <w:rPr>
          <w:rStyle w:val="FootnoteReference"/>
          <w:lang w:val="id-ID"/>
        </w:rPr>
        <w:footnoteReference w:id="18"/>
      </w:r>
    </w:p>
    <w:p w:rsidR="0075463F" w:rsidRPr="002828C3" w:rsidRDefault="002828C3" w:rsidP="002828C3">
      <w:pPr>
        <w:spacing w:line="360" w:lineRule="auto"/>
        <w:ind w:firstLine="567"/>
        <w:jc w:val="both"/>
        <w:rPr>
          <w:lang w:val="id-ID"/>
        </w:rPr>
      </w:pPr>
      <w:r>
        <w:rPr>
          <w:lang w:val="id-ID"/>
        </w:rPr>
        <w:t xml:space="preserve">Selain itu, </w:t>
      </w:r>
      <w:r w:rsidR="0075463F" w:rsidRPr="002828C3">
        <w:rPr>
          <w:lang w:val="id-ID"/>
        </w:rPr>
        <w:t>Al-Qusyairi menjelaskan keadaan jiwa yang fana dengan bait syair juga prosa. Ia mener</w:t>
      </w:r>
      <w:r w:rsidR="0075463F" w:rsidRPr="002828C3">
        <w:t xml:space="preserve">angkan ketika seseorang benar-benar telah melebur atau fana jiwanya maka konsentrasi pun dapat hilang, hingga jumlah rakaat pun terlupakan, ia hanya tertuju pada Allah tanpa merasa kehadiran manusia. </w:t>
      </w:r>
      <w:r w:rsidR="00B37632" w:rsidRPr="002828C3">
        <w:t>Sebagaimana yang ia</w:t>
      </w:r>
      <w:r>
        <w:rPr>
          <w:lang w:val="id-ID"/>
        </w:rPr>
        <w:t xml:space="preserve"> </w:t>
      </w:r>
      <w:r w:rsidR="0075463F" w:rsidRPr="002828C3">
        <w:t>menjelaskan dalam sebuah syair:</w:t>
      </w:r>
    </w:p>
    <w:p w:rsidR="0075463F" w:rsidRPr="002828C3" w:rsidRDefault="0075463F" w:rsidP="009E35A3">
      <w:pPr>
        <w:bidi/>
        <w:spacing w:after="0" w:line="360" w:lineRule="auto"/>
        <w:rPr>
          <w:rFonts w:ascii="Traditional Arabic" w:hAnsi="Traditional Arabic" w:cs="Traditional Arabic"/>
          <w:sz w:val="32"/>
          <w:szCs w:val="32"/>
          <w:lang w:bidi="ar-AE"/>
        </w:rPr>
      </w:pPr>
      <w:r w:rsidRPr="002828C3">
        <w:rPr>
          <w:rFonts w:ascii="Traditional Arabic" w:hAnsi="Traditional Arabic" w:cs="Traditional Arabic"/>
          <w:sz w:val="32"/>
          <w:szCs w:val="32"/>
          <w:rtl/>
          <w:lang w:bidi="ar-AE"/>
        </w:rPr>
        <w:t>أ</w:t>
      </w:r>
      <w:r w:rsidRPr="002828C3">
        <w:rPr>
          <w:rFonts w:ascii="Traditional Arabic" w:hAnsi="Traditional Arabic" w:cs="Traditional Arabic" w:hint="cs"/>
          <w:sz w:val="32"/>
          <w:szCs w:val="32"/>
          <w:rtl/>
          <w:lang w:bidi="ar-AE"/>
        </w:rPr>
        <w:t>َ</w:t>
      </w:r>
      <w:r w:rsidRPr="002828C3">
        <w:rPr>
          <w:rFonts w:ascii="Traditional Arabic" w:hAnsi="Traditional Arabic" w:cs="Traditional Arabic"/>
          <w:sz w:val="32"/>
          <w:szCs w:val="32"/>
          <w:rtl/>
          <w:lang w:bidi="ar-AE"/>
        </w:rPr>
        <w:t>ر</w:t>
      </w:r>
      <w:r w:rsidRPr="002828C3">
        <w:rPr>
          <w:rFonts w:ascii="Traditional Arabic" w:hAnsi="Traditional Arabic" w:cs="Traditional Arabic" w:hint="cs"/>
          <w:sz w:val="32"/>
          <w:szCs w:val="32"/>
          <w:rtl/>
          <w:lang w:bidi="ar-AE"/>
        </w:rPr>
        <w:t>َ</w:t>
      </w:r>
      <w:r w:rsidRPr="002828C3">
        <w:rPr>
          <w:rFonts w:ascii="Traditional Arabic" w:hAnsi="Traditional Arabic" w:cs="Traditional Arabic"/>
          <w:sz w:val="32"/>
          <w:szCs w:val="32"/>
          <w:rtl/>
          <w:lang w:bidi="ar-AE"/>
        </w:rPr>
        <w:t>ان</w:t>
      </w:r>
      <w:r w:rsidRPr="002828C3">
        <w:rPr>
          <w:rFonts w:ascii="Traditional Arabic" w:hAnsi="Traditional Arabic" w:cs="Traditional Arabic" w:hint="cs"/>
          <w:sz w:val="32"/>
          <w:szCs w:val="32"/>
          <w:rtl/>
          <w:lang w:bidi="ar-AE"/>
        </w:rPr>
        <w:t>ِ</w:t>
      </w:r>
      <w:r w:rsidRPr="002828C3">
        <w:rPr>
          <w:rFonts w:ascii="Traditional Arabic" w:hAnsi="Traditional Arabic" w:cs="Traditional Arabic"/>
          <w:sz w:val="32"/>
          <w:szCs w:val="32"/>
          <w:rtl/>
          <w:lang w:bidi="ar-AE"/>
        </w:rPr>
        <w:t>ي إذا صَلَّيْت يَمَّمْت نحوها بوجهي وإنْ كان ال</w:t>
      </w:r>
      <w:r w:rsidRPr="002828C3">
        <w:rPr>
          <w:rFonts w:ascii="Traditional Arabic" w:hAnsi="Traditional Arabic" w:cs="Traditional Arabic" w:hint="cs"/>
          <w:sz w:val="32"/>
          <w:szCs w:val="32"/>
          <w:rtl/>
          <w:lang w:bidi="ar-AE"/>
        </w:rPr>
        <w:t>ـ</w:t>
      </w:r>
      <w:r w:rsidRPr="002828C3">
        <w:rPr>
          <w:rFonts w:ascii="Traditional Arabic" w:hAnsi="Traditional Arabic" w:cs="Traditional Arabic"/>
          <w:sz w:val="32"/>
          <w:szCs w:val="32"/>
          <w:rtl/>
          <w:lang w:bidi="ar-AE"/>
        </w:rPr>
        <w:t>م</w:t>
      </w:r>
      <w:r w:rsidRPr="002828C3">
        <w:rPr>
          <w:rFonts w:ascii="Traditional Arabic" w:hAnsi="Traditional Arabic" w:cs="Traditional Arabic" w:hint="cs"/>
          <w:sz w:val="32"/>
          <w:szCs w:val="32"/>
          <w:rtl/>
          <w:lang w:bidi="ar-AE"/>
        </w:rPr>
        <w:t>ُ</w:t>
      </w:r>
      <w:r w:rsidRPr="002828C3">
        <w:rPr>
          <w:rFonts w:ascii="Traditional Arabic" w:hAnsi="Traditional Arabic" w:cs="Traditional Arabic"/>
          <w:sz w:val="32"/>
          <w:szCs w:val="32"/>
          <w:rtl/>
          <w:lang w:bidi="ar-AE"/>
        </w:rPr>
        <w:t>صَلّ</w:t>
      </w:r>
      <w:r w:rsidRPr="002828C3">
        <w:rPr>
          <w:rFonts w:ascii="Traditional Arabic" w:hAnsi="Traditional Arabic" w:cs="Traditional Arabic" w:hint="cs"/>
          <w:sz w:val="32"/>
          <w:szCs w:val="32"/>
          <w:rtl/>
          <w:lang w:bidi="ar-AE"/>
        </w:rPr>
        <w:t>َى</w:t>
      </w:r>
      <w:r w:rsidRPr="002828C3">
        <w:rPr>
          <w:rFonts w:ascii="Traditional Arabic" w:hAnsi="Traditional Arabic" w:cs="Traditional Arabic"/>
          <w:sz w:val="32"/>
          <w:szCs w:val="32"/>
          <w:rtl/>
          <w:lang w:bidi="ar-AE"/>
        </w:rPr>
        <w:t xml:space="preserve"> ورائيا</w:t>
      </w:r>
    </w:p>
    <w:p w:rsidR="0075463F" w:rsidRPr="002828C3" w:rsidRDefault="0075463F" w:rsidP="009E35A3">
      <w:pPr>
        <w:bidi/>
        <w:spacing w:after="0" w:line="360" w:lineRule="auto"/>
        <w:jc w:val="both"/>
        <w:rPr>
          <w:rFonts w:ascii="Traditional Arabic" w:hAnsi="Traditional Arabic" w:cs="Traditional Arabic"/>
          <w:sz w:val="32"/>
          <w:szCs w:val="32"/>
          <w:lang w:bidi="ar-AE"/>
        </w:rPr>
      </w:pPr>
      <w:r w:rsidRPr="002828C3">
        <w:rPr>
          <w:rFonts w:ascii="Traditional Arabic" w:hAnsi="Traditional Arabic" w:cs="Traditional Arabic"/>
          <w:sz w:val="32"/>
          <w:szCs w:val="32"/>
          <w:rtl/>
          <w:lang w:bidi="ar-AE"/>
        </w:rPr>
        <w:t>أصلي فلا أدري إذا ما قضيتها اثنتين صليت الضحا أم ثماني</w:t>
      </w:r>
      <w:r w:rsidR="002D7205" w:rsidRPr="002828C3">
        <w:rPr>
          <w:rFonts w:ascii="Traditional Arabic" w:hAnsi="Traditional Arabic" w:cs="Traditional Arabic" w:hint="cs"/>
          <w:sz w:val="32"/>
          <w:szCs w:val="32"/>
          <w:rtl/>
          <w:lang w:bidi="ar-AE"/>
        </w:rPr>
        <w:t>ا</w:t>
      </w:r>
    </w:p>
    <w:p w:rsidR="0075463F" w:rsidRPr="002828C3" w:rsidRDefault="0075463F" w:rsidP="009E35A3">
      <w:pPr>
        <w:spacing w:after="0" w:line="360" w:lineRule="auto"/>
        <w:jc w:val="both"/>
        <w:rPr>
          <w:rFonts w:cs="Times New Roman"/>
          <w:lang w:bidi="ar-AE"/>
        </w:rPr>
      </w:pPr>
      <w:r w:rsidRPr="002828C3">
        <w:rPr>
          <w:rFonts w:cs="Times New Roman"/>
          <w:lang w:bidi="ar-AE"/>
        </w:rPr>
        <w:t>Dia melihatku shalat dan aku menuju ke arahNya dengan wajahku walaupun dibelakangku ada orang yang sedang shalat;</w:t>
      </w:r>
    </w:p>
    <w:p w:rsidR="0075463F" w:rsidRPr="002828C3" w:rsidRDefault="0075463F" w:rsidP="009E35A3">
      <w:pPr>
        <w:spacing w:after="0" w:line="360" w:lineRule="auto"/>
        <w:jc w:val="both"/>
        <w:rPr>
          <w:rFonts w:cs="Times New Roman"/>
          <w:rtl/>
          <w:lang w:bidi="ar-AE"/>
        </w:rPr>
      </w:pPr>
      <w:r w:rsidRPr="002828C3">
        <w:rPr>
          <w:rFonts w:cs="Times New Roman"/>
          <w:lang w:bidi="ar-AE"/>
        </w:rPr>
        <w:t>Aku shalat tetapi aku tidak tahu apakah aku telah menyelesaikan dua rakaat dhuha atau delapan rakaat;</w:t>
      </w:r>
    </w:p>
    <w:p w:rsidR="00D66787" w:rsidRPr="002828C3" w:rsidRDefault="00D66787" w:rsidP="009E35A3">
      <w:pPr>
        <w:spacing w:after="0" w:line="360" w:lineRule="auto"/>
        <w:ind w:firstLine="720"/>
        <w:jc w:val="both"/>
        <w:rPr>
          <w:rFonts w:cs="Times New Roman"/>
          <w:lang w:bidi="ar-AE"/>
        </w:rPr>
      </w:pPr>
      <w:r w:rsidRPr="002828C3">
        <w:rPr>
          <w:rFonts w:cs="Times New Roman"/>
          <w:lang w:bidi="ar-AE"/>
        </w:rPr>
        <w:lastRenderedPageBreak/>
        <w:t xml:space="preserve">Selain penjelasan dengan syair, ia juga menjelaskan maksud fana dengan prosa. Lafadz </w:t>
      </w:r>
      <w:r w:rsidRPr="002828C3">
        <w:rPr>
          <w:rFonts w:cs="Times New Roman" w:hint="cs"/>
          <w:rtl/>
          <w:lang w:bidi="ar-AE"/>
        </w:rPr>
        <w:t>يؤمنون</w:t>
      </w:r>
      <w:r w:rsidRPr="002828C3">
        <w:rPr>
          <w:rFonts w:cs="Times New Roman"/>
          <w:lang w:bidi="ar-AE"/>
        </w:rPr>
        <w:t xml:space="preserve"> dan </w:t>
      </w:r>
      <w:r w:rsidRPr="002828C3">
        <w:rPr>
          <w:rFonts w:cs="Times New Roman" w:hint="cs"/>
          <w:rtl/>
          <w:lang w:bidi="ar-AE"/>
        </w:rPr>
        <w:t>يقيمون</w:t>
      </w:r>
      <w:r w:rsidRPr="002828C3">
        <w:rPr>
          <w:rFonts w:cs="Times New Roman"/>
          <w:lang w:bidi="ar-AE"/>
        </w:rPr>
        <w:t xml:space="preserve"> ia meninjau pada jiwa sahabat nabi.</w:t>
      </w:r>
    </w:p>
    <w:p w:rsidR="00D66787" w:rsidRPr="002828C3" w:rsidRDefault="00D66787" w:rsidP="009E35A3">
      <w:pPr>
        <w:bidi/>
        <w:spacing w:after="0" w:line="360" w:lineRule="auto"/>
        <w:rPr>
          <w:rFonts w:ascii="Traditional Arabic" w:hAnsi="Traditional Arabic" w:cs="Traditional Arabic"/>
          <w:sz w:val="28"/>
          <w:szCs w:val="28"/>
          <w:lang w:bidi="ar-AE"/>
        </w:rPr>
      </w:pPr>
      <w:r w:rsidRPr="002828C3">
        <w:rPr>
          <w:rFonts w:ascii="Traditional Arabic" w:hAnsi="Traditional Arabic" w:cs="Traditional Arabic"/>
          <w:sz w:val="28"/>
          <w:szCs w:val="28"/>
          <w:rtl/>
          <w:lang w:bidi="ar-AE"/>
        </w:rPr>
        <w:t>وإن أصحاب العموم يجتهدون عند افتتاح الصلاة ليردوا قلوبهم إلى معرفة ما يؤدون من</w:t>
      </w:r>
    </w:p>
    <w:p w:rsidR="00D66787" w:rsidRPr="002828C3" w:rsidRDefault="00D66787" w:rsidP="009E35A3">
      <w:pPr>
        <w:bidi/>
        <w:spacing w:after="0" w:line="360" w:lineRule="auto"/>
        <w:rPr>
          <w:rFonts w:ascii="Traditional Arabic" w:hAnsi="Traditional Arabic" w:cs="Traditional Arabic"/>
          <w:sz w:val="28"/>
          <w:szCs w:val="28"/>
          <w:lang w:bidi="ar-AE"/>
        </w:rPr>
      </w:pPr>
      <w:r w:rsidRPr="002828C3">
        <w:rPr>
          <w:rFonts w:ascii="Traditional Arabic" w:hAnsi="Traditional Arabic" w:cs="Traditional Arabic"/>
          <w:sz w:val="28"/>
          <w:szCs w:val="28"/>
          <w:rtl/>
          <w:lang w:bidi="ar-AE"/>
        </w:rPr>
        <w:t>الفرض ، ولكن عن أودية الغفلة ما يرجعون . أما أهل الخصوص فيردون قلوبهم إلى معرفة</w:t>
      </w:r>
    </w:p>
    <w:p w:rsidR="00D66787" w:rsidRPr="002828C3" w:rsidRDefault="00D66787" w:rsidP="009E35A3">
      <w:pPr>
        <w:bidi/>
        <w:spacing w:after="0" w:line="360" w:lineRule="auto"/>
        <w:rPr>
          <w:rFonts w:ascii="Traditional Arabic" w:hAnsi="Traditional Arabic" w:cs="Traditional Arabic"/>
          <w:sz w:val="28"/>
          <w:szCs w:val="28"/>
          <w:lang w:bidi="ar-AE"/>
        </w:rPr>
      </w:pPr>
      <w:r w:rsidRPr="002828C3">
        <w:rPr>
          <w:rFonts w:ascii="Traditional Arabic" w:hAnsi="Traditional Arabic" w:cs="Traditional Arabic"/>
          <w:sz w:val="28"/>
          <w:szCs w:val="28"/>
          <w:rtl/>
          <w:lang w:bidi="ar-AE"/>
        </w:rPr>
        <w:t>ما يؤدون ولكن عن حقائق الوصلة ما يرجعون؛ فشتَّان بين غائبٍ يحضر أحكام الشرع</w:t>
      </w:r>
    </w:p>
    <w:p w:rsidR="00D66787" w:rsidRPr="002828C3" w:rsidRDefault="006E0D81" w:rsidP="009E35A3">
      <w:pPr>
        <w:bidi/>
        <w:spacing w:after="0" w:line="360" w:lineRule="auto"/>
        <w:jc w:val="both"/>
        <w:rPr>
          <w:rFonts w:ascii="Traditional Arabic" w:hAnsi="Traditional Arabic" w:cs="Traditional Arabic"/>
          <w:sz w:val="28"/>
          <w:szCs w:val="28"/>
          <w:lang w:bidi="ar-AE"/>
        </w:rPr>
      </w:pPr>
      <w:r w:rsidRPr="002828C3">
        <w:rPr>
          <w:rFonts w:ascii="Traditional Arabic" w:hAnsi="Traditional Arabic" w:cs="Traditional Arabic"/>
          <w:sz w:val="28"/>
          <w:szCs w:val="28"/>
          <w:rtl/>
          <w:lang w:bidi="ar-AE"/>
        </w:rPr>
        <w:t>ولكن عند أوطان الغفلة</w:t>
      </w:r>
      <w:r w:rsidR="00D66787" w:rsidRPr="002828C3">
        <w:rPr>
          <w:rFonts w:ascii="Traditional Arabic" w:hAnsi="Traditional Arabic" w:cs="Traditional Arabic"/>
          <w:sz w:val="28"/>
          <w:szCs w:val="28"/>
          <w:rtl/>
          <w:lang w:bidi="ar-AE"/>
        </w:rPr>
        <w:t>، وبين غائبٍ يرجع إلى أحكام الشرع ولكن عند حقائق الوصلة</w:t>
      </w:r>
    </w:p>
    <w:p w:rsidR="0018517C" w:rsidRDefault="00D66787" w:rsidP="009B51F3">
      <w:pPr>
        <w:autoSpaceDE w:val="0"/>
        <w:autoSpaceDN w:val="0"/>
        <w:adjustRightInd w:val="0"/>
        <w:spacing w:after="0" w:line="360" w:lineRule="auto"/>
        <w:ind w:firstLine="567"/>
        <w:jc w:val="both"/>
      </w:pPr>
      <w:r w:rsidRPr="002828C3">
        <w:t xml:space="preserve">Usaha kuat orang-orang awam dalam melaksanakan salat berada pada awal shalat dengan tujuan supaya hati mereka memahami setiap rukun yang dikerjakan tetapi mereka tidak menghiraukan </w:t>
      </w:r>
      <w:r w:rsidRPr="002828C3">
        <w:rPr>
          <w:i/>
          <w:iCs/>
        </w:rPr>
        <w:t xml:space="preserve">gaflah </w:t>
      </w:r>
      <w:r w:rsidRPr="002828C3">
        <w:t xml:space="preserve">(lupa kehadiran Allah) yang selalu kembali kepada mereka. Sedangkan orang-orang khusus melaksanakan shalat bukan hanya memahami setiap rukun yang dikerjakan bahkan lebih dari itu mereka selalu kembali kepada hakikat </w:t>
      </w:r>
      <w:r w:rsidRPr="002828C3">
        <w:rPr>
          <w:i/>
          <w:iCs/>
        </w:rPr>
        <w:t xml:space="preserve">wuṣūl </w:t>
      </w:r>
      <w:r w:rsidRPr="002828C3">
        <w:t xml:space="preserve">(sampai kepada Allah). Di sinilah perbedaan dua kelompok ini, satu kelompok melaksanakan shalat dengan sepenuh hati menghadirkan hukum-hukum </w:t>
      </w:r>
      <w:r w:rsidRPr="002828C3">
        <w:rPr>
          <w:i/>
          <w:iCs/>
        </w:rPr>
        <w:t xml:space="preserve">syar’ī </w:t>
      </w:r>
      <w:r w:rsidRPr="002828C3">
        <w:t>tetapi selalu berada dalam kelupaan (</w:t>
      </w:r>
      <w:r w:rsidRPr="002828C3">
        <w:rPr>
          <w:i/>
          <w:iCs/>
        </w:rPr>
        <w:t>gaflah</w:t>
      </w:r>
      <w:r w:rsidRPr="002828C3">
        <w:t xml:space="preserve">) sedangkan kelompok yang lain melaksanakan shalat dengan sepenuh hati menghadirkan hukum-hukum </w:t>
      </w:r>
      <w:r w:rsidRPr="002828C3">
        <w:rPr>
          <w:i/>
          <w:iCs/>
        </w:rPr>
        <w:t xml:space="preserve">syar’ī </w:t>
      </w:r>
      <w:r w:rsidRPr="002828C3">
        <w:t xml:space="preserve">salat tetapi selalu berada dalam hakikat </w:t>
      </w:r>
      <w:r w:rsidRPr="002828C3">
        <w:rPr>
          <w:i/>
          <w:iCs/>
        </w:rPr>
        <w:t>wuṣūl</w:t>
      </w:r>
      <w:r w:rsidRPr="002828C3">
        <w:t>.</w:t>
      </w:r>
    </w:p>
    <w:p w:rsidR="005A13C9" w:rsidRDefault="005A13C9" w:rsidP="009B51F3">
      <w:pPr>
        <w:autoSpaceDE w:val="0"/>
        <w:autoSpaceDN w:val="0"/>
        <w:adjustRightInd w:val="0"/>
        <w:spacing w:after="0" w:line="360" w:lineRule="auto"/>
        <w:ind w:firstLine="567"/>
        <w:jc w:val="both"/>
        <w:rPr>
          <w:b/>
          <w:bCs/>
          <w:lang w:val="id-ID"/>
        </w:rPr>
      </w:pPr>
      <w:r>
        <w:rPr>
          <w:b/>
          <w:bCs/>
          <w:lang w:val="id-ID"/>
        </w:rPr>
        <w:t>2.4.5. Tidak membahas masalah-masalah hukum syariat dan cabang-cabang fiqh</w:t>
      </w:r>
    </w:p>
    <w:p w:rsidR="005A13C9" w:rsidRDefault="005A13C9" w:rsidP="009B51F3">
      <w:pPr>
        <w:autoSpaceDE w:val="0"/>
        <w:autoSpaceDN w:val="0"/>
        <w:adjustRightInd w:val="0"/>
        <w:spacing w:after="0" w:line="360" w:lineRule="auto"/>
        <w:ind w:firstLine="567"/>
        <w:jc w:val="both"/>
        <w:rPr>
          <w:lang w:val="id-ID"/>
        </w:rPr>
      </w:pPr>
      <w:r>
        <w:rPr>
          <w:lang w:val="id-ID"/>
        </w:rPr>
        <w:t xml:space="preserve">Tujuan penyusunan kita </w:t>
      </w:r>
      <w:r>
        <w:rPr>
          <w:i/>
          <w:iCs/>
          <w:lang w:val="id-ID"/>
        </w:rPr>
        <w:t xml:space="preserve">lathaif al-Isyarat </w:t>
      </w:r>
      <w:r>
        <w:rPr>
          <w:lang w:val="id-ID"/>
        </w:rPr>
        <w:t xml:space="preserve">memang dikhususkan untuk menguak isyarat-isyarat dan rahasia-rahasia di balik ayat-ayat al-Qur’an, oleh karenanya dalam permasalahan hukum syariat dan fiqih. Apabila bersinggungan dengan ayat-ayat hukum, al-Qusyairi menganjurkan pembacanya untuk menggali lebih </w:t>
      </w:r>
      <w:r w:rsidR="00FE58F9">
        <w:rPr>
          <w:lang w:val="id-ID"/>
        </w:rPr>
        <w:t>dalam dan mengetahui dasarnya.</w:t>
      </w:r>
      <w:r w:rsidR="00FE58F9">
        <w:rPr>
          <w:rStyle w:val="FootnoteReference"/>
          <w:lang w:val="id-ID"/>
        </w:rPr>
        <w:footnoteReference w:id="19"/>
      </w:r>
      <w:r w:rsidR="00FE58F9">
        <w:rPr>
          <w:lang w:val="id-ID"/>
        </w:rPr>
        <w:t xml:space="preserve"> Al-Qusyairi menyampaikan ketika menafsirkan ayat tentang sholat :</w:t>
      </w:r>
    </w:p>
    <w:p w:rsidR="00FE58F9" w:rsidRPr="005A13C9" w:rsidRDefault="00FE58F9" w:rsidP="009B51F3">
      <w:pPr>
        <w:autoSpaceDE w:val="0"/>
        <w:autoSpaceDN w:val="0"/>
        <w:adjustRightInd w:val="0"/>
        <w:spacing w:after="0" w:line="360" w:lineRule="auto"/>
        <w:ind w:firstLine="567"/>
        <w:jc w:val="both"/>
        <w:rPr>
          <w:lang w:val="id-ID"/>
        </w:rPr>
      </w:pPr>
      <w:r>
        <w:rPr>
          <w:noProof/>
        </w:rPr>
        <w:drawing>
          <wp:inline distT="0" distB="0" distL="0" distR="0">
            <wp:extent cx="5039428" cy="160995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thaif 7.PNG"/>
                    <pic:cNvPicPr/>
                  </pic:nvPicPr>
                  <pic:blipFill>
                    <a:blip r:embed="rId15">
                      <a:extLst>
                        <a:ext uri="{28A0092B-C50C-407E-A947-70E740481C1C}">
                          <a14:useLocalDpi xmlns:a14="http://schemas.microsoft.com/office/drawing/2010/main" val="0"/>
                        </a:ext>
                      </a:extLst>
                    </a:blip>
                    <a:stretch>
                      <a:fillRect/>
                    </a:stretch>
                  </pic:blipFill>
                  <pic:spPr>
                    <a:xfrm>
                      <a:off x="0" y="0"/>
                      <a:ext cx="5039428" cy="1609950"/>
                    </a:xfrm>
                    <a:prstGeom prst="rect">
                      <a:avLst/>
                    </a:prstGeom>
                  </pic:spPr>
                </pic:pic>
              </a:graphicData>
            </a:graphic>
          </wp:inline>
        </w:drawing>
      </w:r>
    </w:p>
    <w:p w:rsidR="006C7CCC" w:rsidRPr="00DB5B2A" w:rsidRDefault="006C7CCC" w:rsidP="00DB5B2A">
      <w:pPr>
        <w:pStyle w:val="ListParagraph"/>
        <w:autoSpaceDE w:val="0"/>
        <w:autoSpaceDN w:val="0"/>
        <w:adjustRightInd w:val="0"/>
        <w:spacing w:after="0" w:line="360" w:lineRule="auto"/>
        <w:ind w:left="0" w:firstLine="567"/>
        <w:jc w:val="both"/>
        <w:rPr>
          <w:lang w:val="id-ID"/>
        </w:rPr>
      </w:pPr>
      <w:r>
        <w:rPr>
          <w:lang w:val="id-ID"/>
        </w:rPr>
        <w:t xml:space="preserve">Sholat merupakan pengetuk pintu rezeki, perhambaan dalam mengharapkan </w:t>
      </w:r>
      <w:r>
        <w:rPr>
          <w:i/>
          <w:iCs/>
          <w:lang w:val="id-ID"/>
        </w:rPr>
        <w:t xml:space="preserve">munajat, </w:t>
      </w:r>
      <w:r>
        <w:rPr>
          <w:lang w:val="id-ID"/>
        </w:rPr>
        <w:t>merupakan i’tikaf hati dalam menghadapi takdir, dan dikatakan pula shalat merupakan tempat untuk menyampaikan hajat dan mnajat kepada Allah, adapaun waktu sholat yang terpisah-</w:t>
      </w:r>
      <w:r>
        <w:rPr>
          <w:lang w:val="id-ID"/>
        </w:rPr>
        <w:lastRenderedPageBreak/>
        <w:t>pisah bertujuan agar seorang hamba memiki waktu untuk kembali kepada karpet (</w:t>
      </w:r>
      <w:r>
        <w:rPr>
          <w:i/>
          <w:iCs/>
          <w:lang w:val="id-ID"/>
        </w:rPr>
        <w:t xml:space="preserve">munajat) </w:t>
      </w:r>
      <w:r>
        <w:rPr>
          <w:lang w:val="id-ID"/>
        </w:rPr>
        <w:t>berkali-kali dalam satu hari satu malam.</w:t>
      </w:r>
      <w:r>
        <w:rPr>
          <w:rStyle w:val="FootnoteReference"/>
          <w:lang w:val="id-ID"/>
        </w:rPr>
        <w:footnoteReference w:id="20"/>
      </w:r>
    </w:p>
    <w:p w:rsidR="009B51F3" w:rsidRDefault="005A13C9" w:rsidP="005A13C9">
      <w:pPr>
        <w:pStyle w:val="ListParagraph"/>
        <w:numPr>
          <w:ilvl w:val="0"/>
          <w:numId w:val="3"/>
        </w:numPr>
        <w:autoSpaceDE w:val="0"/>
        <w:autoSpaceDN w:val="0"/>
        <w:adjustRightInd w:val="0"/>
        <w:spacing w:after="0" w:line="360" w:lineRule="auto"/>
        <w:jc w:val="both"/>
        <w:rPr>
          <w:b/>
          <w:bCs/>
          <w:lang w:val="id-ID"/>
        </w:rPr>
      </w:pPr>
      <w:r>
        <w:rPr>
          <w:b/>
          <w:bCs/>
          <w:lang w:val="id-ID"/>
        </w:rPr>
        <w:t>Kesimpulan</w:t>
      </w:r>
    </w:p>
    <w:p w:rsidR="00DB5B2A" w:rsidRDefault="00DB5B2A" w:rsidP="00DB5B2A">
      <w:pPr>
        <w:pStyle w:val="ListParagraph"/>
        <w:autoSpaceDE w:val="0"/>
        <w:autoSpaceDN w:val="0"/>
        <w:adjustRightInd w:val="0"/>
        <w:spacing w:after="0" w:line="360" w:lineRule="auto"/>
        <w:ind w:left="0" w:firstLine="567"/>
        <w:jc w:val="both"/>
        <w:rPr>
          <w:lang w:val="id-ID"/>
        </w:rPr>
      </w:pPr>
      <w:r>
        <w:rPr>
          <w:lang w:val="id-ID"/>
        </w:rPr>
        <w:t xml:space="preserve">Dari pembahasan di atas disimpulkan bahwa kitab </w:t>
      </w:r>
      <w:r>
        <w:rPr>
          <w:i/>
          <w:iCs/>
          <w:lang w:val="id-ID"/>
        </w:rPr>
        <w:t xml:space="preserve">lathaif al-Isyarah </w:t>
      </w:r>
      <w:r>
        <w:rPr>
          <w:lang w:val="id-ID"/>
        </w:rPr>
        <w:t>merupakan sebuah kitab tafsir bercorak isyari yang memiliki kekhasan tersendiri dalam mengungkap isyarat-isyarat dan rahasia-rahasia dibalik ayat-ayat al-Quran. Berbeda dengan kitab-kitab sufi isyari pada zamannya ketika sedang bergejolak fanatisme m</w:t>
      </w:r>
      <w:r w:rsidR="00365889">
        <w:rPr>
          <w:lang w:val="id-ID"/>
        </w:rPr>
        <w:t>a</w:t>
      </w:r>
      <w:r>
        <w:rPr>
          <w:lang w:val="id-ID"/>
        </w:rPr>
        <w:t>zhab</w:t>
      </w:r>
      <w:r w:rsidR="00365889">
        <w:rPr>
          <w:lang w:val="id-ID"/>
        </w:rPr>
        <w:t xml:space="preserve">, </w:t>
      </w:r>
      <w:r w:rsidR="00365889">
        <w:rPr>
          <w:i/>
          <w:iCs/>
          <w:lang w:val="id-ID"/>
        </w:rPr>
        <w:t xml:space="preserve">lathaif al-Isyarat </w:t>
      </w:r>
      <w:r w:rsidR="00365889">
        <w:rPr>
          <w:lang w:val="id-ID"/>
        </w:rPr>
        <w:t>berusaha seobjektifitas mungkin dalam mengungkap isyarat-isyarat dalam al-Qur’an. Hal ini dikarenakan bahwa al-Qusyairi tidak mengabaikan makna dzahir ayat, melainkan menjadikannya sebagai acuan utama dalam mengungkap pesan-pesan tersembunyi al-Qur’an.</w:t>
      </w:r>
    </w:p>
    <w:p w:rsidR="00365889" w:rsidRDefault="00365889" w:rsidP="00DB5B2A">
      <w:pPr>
        <w:pStyle w:val="ListParagraph"/>
        <w:autoSpaceDE w:val="0"/>
        <w:autoSpaceDN w:val="0"/>
        <w:adjustRightInd w:val="0"/>
        <w:spacing w:after="0" w:line="360" w:lineRule="auto"/>
        <w:ind w:left="0" w:firstLine="567"/>
        <w:jc w:val="both"/>
        <w:rPr>
          <w:b/>
          <w:bCs/>
          <w:lang w:val="id-ID"/>
        </w:rPr>
      </w:pPr>
      <w:r>
        <w:rPr>
          <w:b/>
          <w:bCs/>
          <w:lang w:val="id-ID"/>
        </w:rPr>
        <w:t>Referensi</w:t>
      </w:r>
    </w:p>
    <w:p w:rsidR="00365889" w:rsidRPr="00365889" w:rsidRDefault="00365889" w:rsidP="001C41C4">
      <w:pPr>
        <w:pStyle w:val="FootnoteText"/>
        <w:tabs>
          <w:tab w:val="left" w:pos="709"/>
        </w:tabs>
        <w:spacing w:line="360" w:lineRule="auto"/>
        <w:ind w:left="567" w:hanging="567"/>
        <w:jc w:val="both"/>
        <w:rPr>
          <w:sz w:val="24"/>
          <w:szCs w:val="24"/>
        </w:rPr>
      </w:pPr>
      <w:r w:rsidRPr="00365889">
        <w:rPr>
          <w:sz w:val="24"/>
          <w:szCs w:val="24"/>
          <w:lang w:val="id-ID"/>
        </w:rPr>
        <w:t>Maulana, L. 2018.</w:t>
      </w:r>
      <w:r w:rsidRPr="00365889">
        <w:rPr>
          <w:sz w:val="24"/>
          <w:szCs w:val="24"/>
        </w:rPr>
        <w:t xml:space="preserve"> </w:t>
      </w:r>
      <w:r w:rsidRPr="00365889">
        <w:rPr>
          <w:i/>
          <w:iCs/>
          <w:sz w:val="24"/>
          <w:szCs w:val="24"/>
        </w:rPr>
        <w:t>Studi Tafsir Sufi: Tafsir Lathaif Al-Isyarat Imam Al-Qusyairi,</w:t>
      </w:r>
      <w:r w:rsidRPr="00365889">
        <w:rPr>
          <w:sz w:val="24"/>
          <w:szCs w:val="24"/>
        </w:rPr>
        <w:t xml:space="preserve"> </w:t>
      </w:r>
      <w:proofErr w:type="gramStart"/>
      <w:r w:rsidRPr="00365889">
        <w:rPr>
          <w:sz w:val="24"/>
          <w:szCs w:val="24"/>
        </w:rPr>
        <w:t>Hermeneutik,  Jurnal</w:t>
      </w:r>
      <w:proofErr w:type="gramEnd"/>
      <w:r w:rsidRPr="00365889">
        <w:rPr>
          <w:sz w:val="24"/>
          <w:szCs w:val="24"/>
        </w:rPr>
        <w:t xml:space="preserve"> Ilmu Al-Qur’an dan Tafsir Vol. 12 No. 1, 2018</w:t>
      </w:r>
    </w:p>
    <w:p w:rsidR="00365889" w:rsidRPr="00365889" w:rsidRDefault="00365889" w:rsidP="001C41C4">
      <w:pPr>
        <w:tabs>
          <w:tab w:val="left" w:pos="709"/>
        </w:tabs>
        <w:autoSpaceDE w:val="0"/>
        <w:autoSpaceDN w:val="0"/>
        <w:adjustRightInd w:val="0"/>
        <w:spacing w:after="0" w:line="360" w:lineRule="auto"/>
        <w:ind w:left="567" w:hanging="567"/>
        <w:jc w:val="both"/>
        <w:rPr>
          <w:rFonts w:ascii="Times New Roman" w:hAnsi="Times New Roman" w:cs="Times New Roman"/>
        </w:rPr>
      </w:pPr>
      <w:r w:rsidRPr="00365889">
        <w:rPr>
          <w:rFonts w:ascii="Times New Roman" w:hAnsi="Times New Roman" w:cs="Times New Roman"/>
        </w:rPr>
        <w:t xml:space="preserve">Al-Qaththan, </w:t>
      </w:r>
      <w:proofErr w:type="gramStart"/>
      <w:r w:rsidRPr="00365889">
        <w:rPr>
          <w:rFonts w:ascii="Times New Roman" w:hAnsi="Times New Roman" w:cs="Times New Roman"/>
          <w:lang w:val="id-ID"/>
        </w:rPr>
        <w:t>M,</w:t>
      </w:r>
      <w:r w:rsidRPr="00365889">
        <w:rPr>
          <w:rFonts w:ascii="Times New Roman" w:hAnsi="Times New Roman" w:cs="Times New Roman"/>
          <w:i/>
          <w:iCs/>
        </w:rPr>
        <w:t>Mabahits</w:t>
      </w:r>
      <w:proofErr w:type="gramEnd"/>
      <w:r w:rsidRPr="00365889">
        <w:rPr>
          <w:rFonts w:ascii="Times New Roman" w:hAnsi="Times New Roman" w:cs="Times New Roman"/>
          <w:i/>
          <w:iCs/>
        </w:rPr>
        <w:t xml:space="preserve"> fi ‘Ulum al-Qur`an</w:t>
      </w:r>
      <w:r w:rsidRPr="00365889">
        <w:rPr>
          <w:rFonts w:ascii="Times New Roman" w:hAnsi="Times New Roman" w:cs="Times New Roman"/>
        </w:rPr>
        <w:t>, (Riyadh: Mansyurat al-‘Ashru al- Hadist, 1990)</w:t>
      </w:r>
    </w:p>
    <w:p w:rsidR="00365889" w:rsidRPr="00365889" w:rsidRDefault="00365889" w:rsidP="001C41C4">
      <w:pPr>
        <w:pStyle w:val="FootnoteText"/>
        <w:tabs>
          <w:tab w:val="left" w:pos="709"/>
        </w:tabs>
        <w:spacing w:line="360" w:lineRule="auto"/>
        <w:ind w:left="567" w:hanging="567"/>
        <w:jc w:val="both"/>
        <w:rPr>
          <w:sz w:val="24"/>
          <w:szCs w:val="24"/>
        </w:rPr>
      </w:pPr>
      <w:proofErr w:type="gramStart"/>
      <w:r w:rsidRPr="00365889">
        <w:rPr>
          <w:sz w:val="24"/>
          <w:szCs w:val="24"/>
        </w:rPr>
        <w:t>Baraja,  A.</w:t>
      </w:r>
      <w:proofErr w:type="gramEnd"/>
      <w:r w:rsidRPr="00365889">
        <w:rPr>
          <w:sz w:val="24"/>
          <w:szCs w:val="24"/>
        </w:rPr>
        <w:t xml:space="preserve"> </w:t>
      </w:r>
      <w:r w:rsidRPr="00365889">
        <w:rPr>
          <w:i/>
          <w:iCs/>
          <w:sz w:val="24"/>
          <w:szCs w:val="24"/>
        </w:rPr>
        <w:t>Ayat-ayat Kauniyah: Analisa Tafsir Sufi Isyari Imam Al-Basyuni,</w:t>
      </w:r>
      <w:r w:rsidRPr="00365889">
        <w:rPr>
          <w:sz w:val="24"/>
          <w:szCs w:val="24"/>
        </w:rPr>
        <w:t xml:space="preserve"> (Kairo: Maktabatul Adab, 2009)</w:t>
      </w:r>
    </w:p>
    <w:p w:rsidR="00365889" w:rsidRPr="00365889" w:rsidRDefault="00365889" w:rsidP="001C41C4">
      <w:pPr>
        <w:pStyle w:val="FootnoteText"/>
        <w:tabs>
          <w:tab w:val="left" w:pos="709"/>
        </w:tabs>
        <w:spacing w:line="360" w:lineRule="auto"/>
        <w:ind w:left="567" w:hanging="567"/>
        <w:jc w:val="both"/>
        <w:rPr>
          <w:sz w:val="24"/>
          <w:szCs w:val="24"/>
        </w:rPr>
      </w:pPr>
      <w:r w:rsidRPr="00365889">
        <w:rPr>
          <w:sz w:val="24"/>
          <w:szCs w:val="24"/>
        </w:rPr>
        <w:t xml:space="preserve">Al-Dzahabi, </w:t>
      </w:r>
      <w:r w:rsidRPr="00365889">
        <w:rPr>
          <w:sz w:val="24"/>
          <w:szCs w:val="24"/>
          <w:lang w:val="id-ID"/>
        </w:rPr>
        <w:t xml:space="preserve">H. </w:t>
      </w:r>
      <w:r w:rsidRPr="00365889">
        <w:rPr>
          <w:i/>
          <w:iCs/>
          <w:sz w:val="24"/>
          <w:szCs w:val="24"/>
        </w:rPr>
        <w:t>Al-Tafsir wa al-Mufassirun,</w:t>
      </w:r>
      <w:r w:rsidRPr="00365889">
        <w:rPr>
          <w:sz w:val="24"/>
          <w:szCs w:val="24"/>
        </w:rPr>
        <w:t xml:space="preserve"> </w:t>
      </w:r>
      <w:bookmarkStart w:id="0" w:name="_GoBack"/>
      <w:bookmarkEnd w:id="0"/>
      <w:r w:rsidRPr="00365889">
        <w:rPr>
          <w:sz w:val="24"/>
          <w:szCs w:val="24"/>
        </w:rPr>
        <w:t xml:space="preserve">Juz III, (Kairo: Dar Al-Hadits, 2005 </w:t>
      </w:r>
    </w:p>
    <w:p w:rsidR="00365889" w:rsidRPr="00365889" w:rsidRDefault="00365889" w:rsidP="001C41C4">
      <w:pPr>
        <w:pStyle w:val="FootnoteText"/>
        <w:tabs>
          <w:tab w:val="left" w:pos="709"/>
        </w:tabs>
        <w:spacing w:line="360" w:lineRule="auto"/>
        <w:ind w:left="567" w:hanging="567"/>
        <w:jc w:val="both"/>
        <w:rPr>
          <w:sz w:val="24"/>
          <w:szCs w:val="24"/>
        </w:rPr>
      </w:pPr>
      <w:proofErr w:type="gramStart"/>
      <w:r w:rsidRPr="00365889">
        <w:rPr>
          <w:sz w:val="24"/>
          <w:szCs w:val="24"/>
        </w:rPr>
        <w:t>Muhibudin,  I</w:t>
      </w:r>
      <w:proofErr w:type="gramEnd"/>
      <w:r w:rsidRPr="00365889">
        <w:rPr>
          <w:sz w:val="24"/>
          <w:szCs w:val="24"/>
        </w:rPr>
        <w:t xml:space="preserve"> </w:t>
      </w:r>
      <w:r w:rsidRPr="00365889">
        <w:rPr>
          <w:i/>
          <w:iCs/>
          <w:sz w:val="24"/>
          <w:szCs w:val="24"/>
        </w:rPr>
        <w:t xml:space="preserve">Tafsir Ayat-Ayat Sufistik, </w:t>
      </w:r>
      <w:r w:rsidRPr="00365889">
        <w:rPr>
          <w:sz w:val="24"/>
          <w:szCs w:val="24"/>
        </w:rPr>
        <w:t>(Jakarta: UAI Press, 2018)</w:t>
      </w:r>
    </w:p>
    <w:p w:rsidR="00365889" w:rsidRPr="00365889" w:rsidRDefault="00365889" w:rsidP="001C41C4">
      <w:pPr>
        <w:pStyle w:val="FootnoteText"/>
        <w:spacing w:line="360" w:lineRule="auto"/>
        <w:ind w:left="567" w:hanging="567"/>
        <w:jc w:val="both"/>
        <w:rPr>
          <w:sz w:val="24"/>
          <w:szCs w:val="24"/>
          <w:lang w:val="id-ID"/>
        </w:rPr>
      </w:pPr>
      <w:r w:rsidRPr="00365889">
        <w:rPr>
          <w:sz w:val="24"/>
          <w:szCs w:val="24"/>
          <w:lang w:val="id-ID"/>
        </w:rPr>
        <w:t xml:space="preserve">Al-Qusyairi, </w:t>
      </w:r>
      <w:r w:rsidRPr="00365889">
        <w:rPr>
          <w:sz w:val="24"/>
          <w:szCs w:val="24"/>
        </w:rPr>
        <w:t xml:space="preserve"> </w:t>
      </w:r>
      <w:r w:rsidRPr="00365889">
        <w:rPr>
          <w:sz w:val="24"/>
          <w:szCs w:val="24"/>
          <w:lang w:val="id-ID"/>
        </w:rPr>
        <w:t xml:space="preserve">, </w:t>
      </w:r>
      <w:r w:rsidRPr="00365889">
        <w:rPr>
          <w:i/>
          <w:iCs/>
          <w:sz w:val="24"/>
          <w:szCs w:val="24"/>
          <w:lang w:val="id-ID"/>
        </w:rPr>
        <w:t>Lathaif al-Isyarat</w:t>
      </w:r>
      <w:r w:rsidRPr="00365889">
        <w:rPr>
          <w:sz w:val="24"/>
          <w:szCs w:val="24"/>
          <w:lang w:val="id-ID"/>
        </w:rPr>
        <w:t xml:space="preserve"> (Beirut: Dar al-Kutub al-Ilmiyyah, 1971)</w:t>
      </w:r>
    </w:p>
    <w:p w:rsidR="00365889" w:rsidRPr="00365889" w:rsidRDefault="00365889" w:rsidP="001C41C4">
      <w:pPr>
        <w:pStyle w:val="FootnoteText"/>
        <w:tabs>
          <w:tab w:val="left" w:pos="709"/>
        </w:tabs>
        <w:spacing w:line="360" w:lineRule="auto"/>
        <w:ind w:left="567" w:hanging="567"/>
        <w:jc w:val="both"/>
        <w:rPr>
          <w:sz w:val="24"/>
          <w:szCs w:val="24"/>
          <w:lang w:val="id-ID"/>
        </w:rPr>
      </w:pPr>
      <w:r w:rsidRPr="00365889">
        <w:rPr>
          <w:sz w:val="24"/>
          <w:szCs w:val="24"/>
          <w:lang w:val="id-ID"/>
        </w:rPr>
        <w:t>Iyazi, A.</w:t>
      </w:r>
      <w:r w:rsidRPr="00365889">
        <w:rPr>
          <w:i/>
          <w:iCs/>
          <w:sz w:val="24"/>
          <w:szCs w:val="24"/>
          <w:lang w:val="id-ID"/>
        </w:rPr>
        <w:t xml:space="preserve">Al-Mufassirun hayatuhum wa manhajuhum, </w:t>
      </w:r>
      <w:r w:rsidRPr="00365889">
        <w:rPr>
          <w:sz w:val="24"/>
          <w:szCs w:val="24"/>
          <w:lang w:val="id-ID"/>
        </w:rPr>
        <w:t>;  (Muassasah al-Thiba’ah wa al-Nasyr Wujarat al-Tsaqafah wa al-Irsyad al-Islamiy, 1313 H)</w:t>
      </w:r>
    </w:p>
    <w:p w:rsidR="00365889" w:rsidRPr="00365889" w:rsidRDefault="00365889" w:rsidP="001C41C4">
      <w:pPr>
        <w:pStyle w:val="FootnoteText"/>
        <w:spacing w:line="360" w:lineRule="auto"/>
        <w:ind w:left="567" w:hanging="567"/>
        <w:jc w:val="both"/>
        <w:rPr>
          <w:sz w:val="24"/>
          <w:szCs w:val="24"/>
          <w:lang w:val="id-ID"/>
        </w:rPr>
      </w:pPr>
      <w:r w:rsidRPr="00365889">
        <w:rPr>
          <w:sz w:val="24"/>
          <w:szCs w:val="24"/>
          <w:lang w:val="id-ID"/>
        </w:rPr>
        <w:t xml:space="preserve">Ja’far, </w:t>
      </w:r>
      <w:r>
        <w:rPr>
          <w:sz w:val="24"/>
          <w:szCs w:val="24"/>
          <w:lang w:val="id-ID"/>
        </w:rPr>
        <w:t xml:space="preserve">M.M.A </w:t>
      </w:r>
      <w:r w:rsidRPr="00365889">
        <w:rPr>
          <w:i/>
          <w:iCs/>
          <w:sz w:val="24"/>
          <w:szCs w:val="24"/>
          <w:lang w:val="id-ID"/>
        </w:rPr>
        <w:t>Manahij al-Mufassirin</w:t>
      </w:r>
      <w:r>
        <w:rPr>
          <w:i/>
          <w:iCs/>
          <w:sz w:val="24"/>
          <w:szCs w:val="24"/>
          <w:lang w:val="id-ID"/>
        </w:rPr>
        <w:t xml:space="preserve">, </w:t>
      </w:r>
      <w:r>
        <w:rPr>
          <w:sz w:val="24"/>
          <w:szCs w:val="24"/>
          <w:lang w:val="id-ID"/>
        </w:rPr>
        <w:t>(Dar al-Ma’rifah, 1980)</w:t>
      </w:r>
    </w:p>
    <w:p w:rsidR="005A13C9" w:rsidRPr="005A13C9" w:rsidRDefault="005A13C9" w:rsidP="005A13C9">
      <w:pPr>
        <w:autoSpaceDE w:val="0"/>
        <w:autoSpaceDN w:val="0"/>
        <w:adjustRightInd w:val="0"/>
        <w:spacing w:after="0" w:line="360" w:lineRule="auto"/>
        <w:ind w:firstLine="360"/>
        <w:jc w:val="both"/>
        <w:rPr>
          <w:b/>
          <w:bCs/>
          <w:lang w:val="id-ID"/>
        </w:rPr>
      </w:pPr>
    </w:p>
    <w:p w:rsidR="005A13C9" w:rsidRPr="00DB5B2A" w:rsidRDefault="005A13C9" w:rsidP="009B51F3">
      <w:pPr>
        <w:autoSpaceDE w:val="0"/>
        <w:autoSpaceDN w:val="0"/>
        <w:adjustRightInd w:val="0"/>
        <w:spacing w:after="0" w:line="360" w:lineRule="auto"/>
        <w:ind w:firstLine="567"/>
        <w:jc w:val="both"/>
        <w:rPr>
          <w:lang w:val="id-ID"/>
        </w:rPr>
      </w:pPr>
    </w:p>
    <w:p w:rsidR="0018517C" w:rsidRPr="00DB5B2A" w:rsidRDefault="0018517C" w:rsidP="009E35A3">
      <w:pPr>
        <w:pStyle w:val="ListParagraph"/>
        <w:spacing w:line="360" w:lineRule="auto"/>
        <w:ind w:left="0" w:firstLine="720"/>
        <w:jc w:val="both"/>
        <w:rPr>
          <w:lang w:val="id-ID"/>
        </w:rPr>
      </w:pPr>
    </w:p>
    <w:p w:rsidR="0018517C" w:rsidRPr="00DB5B2A" w:rsidRDefault="0018517C" w:rsidP="009E35A3">
      <w:pPr>
        <w:pStyle w:val="ListParagraph"/>
        <w:spacing w:line="360" w:lineRule="auto"/>
        <w:ind w:left="0" w:firstLine="720"/>
        <w:jc w:val="both"/>
        <w:rPr>
          <w:lang w:val="id-ID"/>
        </w:rPr>
      </w:pPr>
    </w:p>
    <w:p w:rsidR="00840151" w:rsidRPr="00DB5B2A" w:rsidRDefault="00840151" w:rsidP="009E35A3">
      <w:pPr>
        <w:spacing w:line="360" w:lineRule="auto"/>
        <w:ind w:firstLine="720"/>
        <w:jc w:val="both"/>
        <w:rPr>
          <w:lang w:val="id-ID"/>
        </w:rPr>
      </w:pPr>
    </w:p>
    <w:p w:rsidR="008A3F78" w:rsidRPr="00DB5B2A" w:rsidRDefault="008A3F78" w:rsidP="009E35A3">
      <w:pPr>
        <w:spacing w:line="360" w:lineRule="auto"/>
        <w:ind w:firstLine="720"/>
        <w:jc w:val="both"/>
        <w:rPr>
          <w:lang w:val="id-ID"/>
        </w:rPr>
      </w:pPr>
    </w:p>
    <w:sectPr w:rsidR="008A3F78" w:rsidRPr="00DB5B2A" w:rsidSect="005C70C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41" w:rsidRDefault="00230941" w:rsidP="002D161C">
      <w:pPr>
        <w:spacing w:after="0" w:line="240" w:lineRule="auto"/>
      </w:pPr>
      <w:r>
        <w:separator/>
      </w:r>
    </w:p>
  </w:endnote>
  <w:endnote w:type="continuationSeparator" w:id="0">
    <w:p w:rsidR="00230941" w:rsidRDefault="00230941" w:rsidP="002D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41" w:rsidRDefault="00230941" w:rsidP="002D161C">
      <w:pPr>
        <w:spacing w:after="0" w:line="240" w:lineRule="auto"/>
      </w:pPr>
      <w:r>
        <w:separator/>
      </w:r>
    </w:p>
  </w:footnote>
  <w:footnote w:type="continuationSeparator" w:id="0">
    <w:p w:rsidR="00230941" w:rsidRDefault="00230941" w:rsidP="002D161C">
      <w:pPr>
        <w:spacing w:after="0" w:line="240" w:lineRule="auto"/>
      </w:pPr>
      <w:r>
        <w:continuationSeparator/>
      </w:r>
    </w:p>
  </w:footnote>
  <w:footnote w:id="1">
    <w:p w:rsidR="00840151" w:rsidRDefault="00840151" w:rsidP="006C7CCC">
      <w:pPr>
        <w:pStyle w:val="FootnoteText"/>
        <w:tabs>
          <w:tab w:val="left" w:pos="709"/>
        </w:tabs>
        <w:spacing w:line="276" w:lineRule="auto"/>
        <w:ind w:firstLine="720"/>
        <w:jc w:val="both"/>
      </w:pPr>
      <w:r>
        <w:rPr>
          <w:rStyle w:val="FootnoteReference"/>
        </w:rPr>
        <w:footnoteRef/>
      </w:r>
      <w:r>
        <w:t xml:space="preserve"> Luthfi Maulana, </w:t>
      </w:r>
      <w:r>
        <w:rPr>
          <w:i/>
          <w:iCs/>
        </w:rPr>
        <w:t>Studi Tafsir Sufi: Tafsir Lathaif Al-Isyarat Imam Al-Qusyairi,</w:t>
      </w:r>
      <w:r>
        <w:t xml:space="preserve"> Hermeneutik,  Jurnal Ilmu Al-Qur’an dan Tafsir </w:t>
      </w:r>
      <w:r w:rsidR="001D1033">
        <w:t>Vol. 12 No. 1, 2018, hal. 4</w:t>
      </w:r>
    </w:p>
  </w:footnote>
  <w:footnote w:id="2">
    <w:p w:rsidR="006050E7" w:rsidRPr="0048083C" w:rsidRDefault="006050E7" w:rsidP="006C7CCC">
      <w:pPr>
        <w:tabs>
          <w:tab w:val="left" w:pos="709"/>
        </w:tabs>
        <w:autoSpaceDE w:val="0"/>
        <w:autoSpaceDN w:val="0"/>
        <w:adjustRightInd w:val="0"/>
        <w:spacing w:after="0"/>
        <w:ind w:firstLine="720"/>
        <w:jc w:val="both"/>
        <w:rPr>
          <w:rFonts w:ascii="Times New Roman" w:hAnsi="Times New Roman" w:cs="Times New Roman"/>
          <w:sz w:val="20"/>
          <w:szCs w:val="20"/>
        </w:rPr>
      </w:pPr>
      <w:r>
        <w:rPr>
          <w:rStyle w:val="FootnoteReference"/>
        </w:rPr>
        <w:footnoteRef/>
      </w:r>
      <w:r w:rsidR="0048083C">
        <w:t xml:space="preserve"> </w:t>
      </w:r>
      <w:r w:rsidRPr="0048083C">
        <w:rPr>
          <w:rFonts w:ascii="Times New Roman" w:hAnsi="Times New Roman" w:cs="Times New Roman"/>
          <w:sz w:val="20"/>
          <w:szCs w:val="20"/>
        </w:rPr>
        <w:t xml:space="preserve">Manna Al-Qaththan, </w:t>
      </w:r>
      <w:r w:rsidRPr="0048083C">
        <w:rPr>
          <w:rFonts w:ascii="Times New Roman" w:hAnsi="Times New Roman" w:cs="Times New Roman"/>
          <w:i/>
          <w:iCs/>
          <w:sz w:val="20"/>
          <w:szCs w:val="20"/>
        </w:rPr>
        <w:t>Mabahits fi ‘Ulum al-Qur`an</w:t>
      </w:r>
      <w:r w:rsidRPr="0048083C">
        <w:rPr>
          <w:rFonts w:ascii="Times New Roman" w:hAnsi="Times New Roman" w:cs="Times New Roman"/>
          <w:sz w:val="20"/>
          <w:szCs w:val="20"/>
        </w:rPr>
        <w:t>, (Riyadh: Mansyurat al</w:t>
      </w:r>
      <w:proofErr w:type="gramStart"/>
      <w:r w:rsidRPr="0048083C">
        <w:rPr>
          <w:rFonts w:ascii="Times New Roman" w:hAnsi="Times New Roman" w:cs="Times New Roman"/>
          <w:sz w:val="20"/>
          <w:szCs w:val="20"/>
        </w:rPr>
        <w:t>-‘</w:t>
      </w:r>
      <w:proofErr w:type="gramEnd"/>
      <w:r w:rsidRPr="0048083C">
        <w:rPr>
          <w:rFonts w:ascii="Times New Roman" w:hAnsi="Times New Roman" w:cs="Times New Roman"/>
          <w:sz w:val="20"/>
          <w:szCs w:val="20"/>
        </w:rPr>
        <w:t>Ashru al-</w:t>
      </w:r>
      <w:r w:rsidR="0048083C" w:rsidRPr="0048083C">
        <w:rPr>
          <w:rFonts w:ascii="Times New Roman" w:hAnsi="Times New Roman" w:cs="Times New Roman"/>
          <w:sz w:val="20"/>
          <w:szCs w:val="20"/>
        </w:rPr>
        <w:t xml:space="preserve"> </w:t>
      </w:r>
      <w:r w:rsidRPr="0048083C">
        <w:rPr>
          <w:rFonts w:ascii="Times New Roman" w:hAnsi="Times New Roman" w:cs="Times New Roman"/>
          <w:sz w:val="20"/>
          <w:szCs w:val="20"/>
        </w:rPr>
        <w:t>Hadist, 1990), hal. 337</w:t>
      </w:r>
    </w:p>
  </w:footnote>
  <w:footnote w:id="3">
    <w:p w:rsidR="00102344" w:rsidRDefault="00102344" w:rsidP="006C7CCC">
      <w:pPr>
        <w:pStyle w:val="FootnoteText"/>
        <w:tabs>
          <w:tab w:val="left" w:pos="709"/>
        </w:tabs>
        <w:ind w:firstLine="720"/>
        <w:jc w:val="both"/>
      </w:pPr>
      <w:r>
        <w:rPr>
          <w:rStyle w:val="FootnoteReference"/>
        </w:rPr>
        <w:footnoteRef/>
      </w:r>
      <w:r>
        <w:t xml:space="preserve"> A. Baraja, </w:t>
      </w:r>
      <w:r>
        <w:rPr>
          <w:i/>
          <w:iCs/>
        </w:rPr>
        <w:t>Ayat-ayat Kauniyah: Analisa Tafsir Sufi Isyari Imam Al-Basyuni,</w:t>
      </w:r>
      <w:r>
        <w:t xml:space="preserve"> (Kairo: Maktabatul Adab, 2009), hal. 53 </w:t>
      </w:r>
    </w:p>
  </w:footnote>
  <w:footnote w:id="4">
    <w:p w:rsidR="00AA0D91" w:rsidRDefault="00AA0D91" w:rsidP="006C7CCC">
      <w:pPr>
        <w:pStyle w:val="FootnoteText"/>
        <w:tabs>
          <w:tab w:val="left" w:pos="709"/>
        </w:tabs>
        <w:spacing w:line="276" w:lineRule="auto"/>
        <w:ind w:firstLine="720"/>
        <w:jc w:val="both"/>
      </w:pPr>
      <w:r>
        <w:rPr>
          <w:rStyle w:val="FootnoteReference"/>
        </w:rPr>
        <w:footnoteRef/>
      </w:r>
      <w:r>
        <w:t xml:space="preserve"> Husain Al-Dzahabi, </w:t>
      </w:r>
      <w:r>
        <w:rPr>
          <w:i/>
          <w:iCs/>
        </w:rPr>
        <w:t>Al-Tafsir wa al-Mufassirun,</w:t>
      </w:r>
      <w:r>
        <w:t xml:space="preserve"> Juz III</w:t>
      </w:r>
      <w:r w:rsidR="00DF22A7">
        <w:t>, (Kairo</w:t>
      </w:r>
      <w:r>
        <w:t xml:space="preserve">: Dar Al-Hadits, 2005), hal. 18 </w:t>
      </w:r>
    </w:p>
  </w:footnote>
  <w:footnote w:id="5">
    <w:p w:rsidR="000B0F3F" w:rsidRPr="000B0F3F" w:rsidRDefault="000B0F3F" w:rsidP="006C7CCC">
      <w:pPr>
        <w:pStyle w:val="FootnoteText"/>
        <w:tabs>
          <w:tab w:val="left" w:pos="709"/>
        </w:tabs>
        <w:spacing w:line="276" w:lineRule="auto"/>
        <w:ind w:firstLine="720"/>
        <w:jc w:val="both"/>
      </w:pPr>
      <w:r>
        <w:rPr>
          <w:rStyle w:val="FootnoteReference"/>
        </w:rPr>
        <w:footnoteRef/>
      </w:r>
      <w:r>
        <w:t xml:space="preserve">  Luthfi Maulana, </w:t>
      </w:r>
      <w:r>
        <w:rPr>
          <w:i/>
          <w:iCs/>
        </w:rPr>
        <w:t>Studi Tafsir Sufi: Tafsir Lathaif Al-Isyarat Imam Al-Qusyairi,</w:t>
      </w:r>
      <w:r>
        <w:t xml:space="preserve"> hal. 4</w:t>
      </w:r>
    </w:p>
  </w:footnote>
  <w:footnote w:id="6">
    <w:p w:rsidR="00632E96" w:rsidRDefault="00632E96" w:rsidP="006C7CCC">
      <w:pPr>
        <w:pStyle w:val="FootnoteText"/>
        <w:tabs>
          <w:tab w:val="left" w:pos="709"/>
        </w:tabs>
        <w:spacing w:line="276" w:lineRule="auto"/>
        <w:ind w:firstLine="720"/>
        <w:jc w:val="both"/>
      </w:pPr>
      <w:r>
        <w:rPr>
          <w:rStyle w:val="FootnoteReference"/>
        </w:rPr>
        <w:footnoteRef/>
      </w:r>
      <w:r>
        <w:t xml:space="preserve"> </w:t>
      </w:r>
      <w:r w:rsidRPr="0048083C">
        <w:rPr>
          <w:rFonts w:ascii="Times New Roman" w:hAnsi="Times New Roman" w:cs="Times New Roman"/>
        </w:rPr>
        <w:t xml:space="preserve">Manna Al-Qaththan, </w:t>
      </w:r>
      <w:r w:rsidRPr="0048083C">
        <w:rPr>
          <w:rFonts w:ascii="Times New Roman" w:hAnsi="Times New Roman" w:cs="Times New Roman"/>
          <w:i/>
          <w:iCs/>
        </w:rPr>
        <w:t>Mabahits fi ‘Ulum al-Qur`an</w:t>
      </w:r>
      <w:r w:rsidRPr="0048083C">
        <w:rPr>
          <w:rFonts w:ascii="Times New Roman" w:hAnsi="Times New Roman" w:cs="Times New Roman"/>
        </w:rPr>
        <w:t>,</w:t>
      </w:r>
      <w:r w:rsidR="00890620">
        <w:rPr>
          <w:rFonts w:ascii="Times New Roman" w:hAnsi="Times New Roman" w:cs="Times New Roman"/>
        </w:rPr>
        <w:t xml:space="preserve"> hal</w:t>
      </w:r>
      <w:r>
        <w:rPr>
          <w:rFonts w:ascii="Times New Roman" w:hAnsi="Times New Roman" w:cs="Times New Roman"/>
        </w:rPr>
        <w:t>. 348</w:t>
      </w:r>
    </w:p>
  </w:footnote>
  <w:footnote w:id="7">
    <w:p w:rsidR="007620B5" w:rsidRDefault="007620B5" w:rsidP="006C7CCC">
      <w:pPr>
        <w:pStyle w:val="FootnoteText"/>
        <w:tabs>
          <w:tab w:val="left" w:pos="709"/>
        </w:tabs>
        <w:spacing w:line="276" w:lineRule="auto"/>
        <w:ind w:firstLine="720"/>
        <w:jc w:val="both"/>
      </w:pPr>
      <w:r>
        <w:rPr>
          <w:rStyle w:val="FootnoteReference"/>
        </w:rPr>
        <w:footnoteRef/>
      </w:r>
      <w:r>
        <w:t xml:space="preserve"> Luthfi Maulana, </w:t>
      </w:r>
      <w:r>
        <w:rPr>
          <w:i/>
          <w:iCs/>
        </w:rPr>
        <w:t>Studi Tafsir Sufi: Tafsir Lathaif Al-Isyarat Imam Al-Qusyairi,</w:t>
      </w:r>
      <w:r>
        <w:t xml:space="preserve"> hal.</w:t>
      </w:r>
      <w:r w:rsidR="00754269">
        <w:t xml:space="preserve"> 8</w:t>
      </w:r>
    </w:p>
  </w:footnote>
  <w:footnote w:id="8">
    <w:p w:rsidR="008C5FE4" w:rsidRDefault="008C5FE4" w:rsidP="006C7CCC">
      <w:pPr>
        <w:pStyle w:val="FootnoteText"/>
        <w:tabs>
          <w:tab w:val="left" w:pos="709"/>
        </w:tabs>
        <w:ind w:firstLine="720"/>
        <w:jc w:val="both"/>
      </w:pPr>
      <w:r>
        <w:rPr>
          <w:rStyle w:val="FootnoteReference"/>
        </w:rPr>
        <w:footnoteRef/>
      </w:r>
      <w:r>
        <w:t xml:space="preserve"> Irwan Muhibudin, </w:t>
      </w:r>
      <w:r>
        <w:rPr>
          <w:i/>
          <w:iCs/>
        </w:rPr>
        <w:t xml:space="preserve">Tafsir Ayat-Ayat Sufistik, </w:t>
      </w:r>
      <w:r>
        <w:t xml:space="preserve">(Jakarta: UAI Press, 2018), hal. 40 </w:t>
      </w:r>
    </w:p>
  </w:footnote>
  <w:footnote w:id="9">
    <w:p w:rsidR="008A24F4" w:rsidRDefault="008A24F4" w:rsidP="006C7CCC">
      <w:pPr>
        <w:pStyle w:val="FootnoteText"/>
        <w:tabs>
          <w:tab w:val="left" w:pos="709"/>
        </w:tabs>
        <w:ind w:firstLine="720"/>
        <w:jc w:val="both"/>
      </w:pPr>
      <w:r>
        <w:rPr>
          <w:rStyle w:val="FootnoteReference"/>
        </w:rPr>
        <w:footnoteRef/>
      </w:r>
      <w:r>
        <w:t xml:space="preserve"> Husain Al-Dzahabi, </w:t>
      </w:r>
      <w:r>
        <w:rPr>
          <w:i/>
          <w:iCs/>
        </w:rPr>
        <w:t>Al-Tafsir wa al-Mufassirun,</w:t>
      </w:r>
      <w:r>
        <w:t xml:space="preserve"> hal. 331 </w:t>
      </w:r>
    </w:p>
  </w:footnote>
  <w:footnote w:id="10">
    <w:p w:rsidR="008151BC" w:rsidRDefault="008151BC" w:rsidP="006C7CCC">
      <w:pPr>
        <w:pStyle w:val="FootnoteText"/>
        <w:tabs>
          <w:tab w:val="left" w:pos="709"/>
        </w:tabs>
        <w:spacing w:line="276" w:lineRule="auto"/>
        <w:ind w:firstLine="720"/>
        <w:jc w:val="both"/>
      </w:pPr>
      <w:r>
        <w:rPr>
          <w:rStyle w:val="FootnoteReference"/>
        </w:rPr>
        <w:footnoteRef/>
      </w:r>
      <w:r w:rsidR="00DF3CC2">
        <w:t xml:space="preserve"> Ibid</w:t>
      </w:r>
      <w:r>
        <w:rPr>
          <w:i/>
          <w:iCs/>
        </w:rPr>
        <w:t>,</w:t>
      </w:r>
      <w:r>
        <w:t xml:space="preserve"> hal. 15 </w:t>
      </w:r>
    </w:p>
  </w:footnote>
  <w:footnote w:id="11">
    <w:p w:rsidR="002A4603" w:rsidRDefault="002A4603" w:rsidP="006C7CCC">
      <w:pPr>
        <w:pStyle w:val="FootnoteText"/>
        <w:tabs>
          <w:tab w:val="left" w:pos="709"/>
        </w:tabs>
        <w:spacing w:line="276" w:lineRule="auto"/>
        <w:ind w:firstLine="720"/>
        <w:jc w:val="both"/>
      </w:pPr>
      <w:r>
        <w:rPr>
          <w:rStyle w:val="FootnoteReference"/>
        </w:rPr>
        <w:footnoteRef/>
      </w:r>
      <w:r>
        <w:t xml:space="preserve"> Al-Qusyairi, </w:t>
      </w:r>
      <w:r>
        <w:rPr>
          <w:i/>
          <w:iCs/>
        </w:rPr>
        <w:t>Lathaif Al-Isyarat,</w:t>
      </w:r>
      <w:r>
        <w:t xml:space="preserve"> (Beirut: Dar Al-Kutub Al-Ilmiyah, 2007), hal. 5 </w:t>
      </w:r>
    </w:p>
  </w:footnote>
  <w:footnote w:id="12">
    <w:p w:rsidR="00FD0D41" w:rsidRPr="00A65DCD" w:rsidRDefault="00FD0D41" w:rsidP="006C7CCC">
      <w:pPr>
        <w:pStyle w:val="FootnoteText"/>
        <w:tabs>
          <w:tab w:val="left" w:pos="709"/>
        </w:tabs>
        <w:ind w:firstLine="720"/>
        <w:jc w:val="both"/>
        <w:rPr>
          <w:lang w:val="id-ID"/>
        </w:rPr>
      </w:pPr>
      <w:r>
        <w:rPr>
          <w:rStyle w:val="FootnoteReference"/>
        </w:rPr>
        <w:footnoteRef/>
      </w:r>
      <w:r>
        <w:t xml:space="preserve"> </w:t>
      </w:r>
      <w:r w:rsidR="006C7CCC">
        <w:rPr>
          <w:lang w:val="id-ID"/>
        </w:rPr>
        <w:t xml:space="preserve">Musa’id Muslim Ali Ja’far, </w:t>
      </w:r>
      <w:r w:rsidRPr="006C7CCC">
        <w:rPr>
          <w:i/>
          <w:iCs/>
          <w:lang w:val="id-ID"/>
        </w:rPr>
        <w:t>Manahij al-Mufassirin</w:t>
      </w:r>
      <w:r>
        <w:rPr>
          <w:lang w:val="id-ID"/>
        </w:rPr>
        <w:t xml:space="preserve">, </w:t>
      </w:r>
      <w:r w:rsidR="006C7CCC">
        <w:rPr>
          <w:lang w:val="id-ID"/>
        </w:rPr>
        <w:t xml:space="preserve">(Dar al-Ma’rifah, 1980), </w:t>
      </w:r>
      <w:r>
        <w:rPr>
          <w:lang w:val="id-ID"/>
        </w:rPr>
        <w:t>hal.230</w:t>
      </w:r>
    </w:p>
  </w:footnote>
  <w:footnote w:id="13">
    <w:p w:rsidR="00AF4002" w:rsidRPr="00AF4002" w:rsidRDefault="00AF4002" w:rsidP="006C7CCC">
      <w:pPr>
        <w:pStyle w:val="FootnoteText"/>
        <w:ind w:firstLine="720"/>
        <w:jc w:val="both"/>
        <w:rPr>
          <w:lang w:val="id-ID"/>
        </w:rPr>
      </w:pPr>
      <w:r>
        <w:rPr>
          <w:rStyle w:val="FootnoteReference"/>
        </w:rPr>
        <w:footnoteRef/>
      </w:r>
      <w:r>
        <w:t xml:space="preserve"> </w:t>
      </w:r>
      <w:r w:rsidR="00DB5B2A">
        <w:rPr>
          <w:lang w:val="id-ID"/>
        </w:rPr>
        <w:t xml:space="preserve">Al-Qusyairi, </w:t>
      </w:r>
      <w:r w:rsidRPr="00DB5B2A">
        <w:rPr>
          <w:i/>
          <w:iCs/>
          <w:lang w:val="id-ID"/>
        </w:rPr>
        <w:t>Lathaif al-Isyarat</w:t>
      </w:r>
      <w:r>
        <w:rPr>
          <w:lang w:val="id-ID"/>
        </w:rPr>
        <w:t xml:space="preserve">, </w:t>
      </w:r>
      <w:r w:rsidR="00DB5B2A">
        <w:rPr>
          <w:lang w:val="id-ID"/>
        </w:rPr>
        <w:t xml:space="preserve">(Beirut: Dar al-Kutub al-Ilmiyyah, 1971), </w:t>
      </w:r>
      <w:r>
        <w:rPr>
          <w:lang w:val="id-ID"/>
        </w:rPr>
        <w:t>juz 1, hal 25</w:t>
      </w:r>
    </w:p>
  </w:footnote>
  <w:footnote w:id="14">
    <w:p w:rsidR="00A65DCD" w:rsidRPr="00A65DCD" w:rsidRDefault="00A65DCD" w:rsidP="006C7CCC">
      <w:pPr>
        <w:pStyle w:val="FootnoteText"/>
        <w:tabs>
          <w:tab w:val="left" w:pos="709"/>
        </w:tabs>
        <w:ind w:firstLine="720"/>
        <w:jc w:val="both"/>
        <w:rPr>
          <w:lang w:val="id-ID"/>
        </w:rPr>
      </w:pPr>
      <w:r>
        <w:rPr>
          <w:rStyle w:val="FootnoteReference"/>
        </w:rPr>
        <w:footnoteRef/>
      </w:r>
      <w:r>
        <w:t xml:space="preserve"> </w:t>
      </w:r>
      <w:r w:rsidR="00DB5B2A">
        <w:rPr>
          <w:lang w:val="id-ID"/>
        </w:rPr>
        <w:t xml:space="preserve">Al-Qusyairi, </w:t>
      </w:r>
      <w:r w:rsidRPr="00DB5B2A">
        <w:rPr>
          <w:i/>
          <w:iCs/>
          <w:lang w:val="id-ID"/>
        </w:rPr>
        <w:t>Lathaif al-Isyarat</w:t>
      </w:r>
      <w:r>
        <w:rPr>
          <w:lang w:val="id-ID"/>
        </w:rPr>
        <w:t>, juz 2, hal</w:t>
      </w:r>
      <w:r w:rsidR="008E7434">
        <w:rPr>
          <w:lang w:val="id-ID"/>
        </w:rPr>
        <w:t>.64</w:t>
      </w:r>
    </w:p>
  </w:footnote>
  <w:footnote w:id="15">
    <w:p w:rsidR="00F424F7" w:rsidRPr="00F424F7" w:rsidRDefault="00F424F7" w:rsidP="006C7CCC">
      <w:pPr>
        <w:pStyle w:val="FootnoteText"/>
        <w:tabs>
          <w:tab w:val="left" w:pos="709"/>
        </w:tabs>
        <w:ind w:firstLine="720"/>
        <w:jc w:val="both"/>
        <w:rPr>
          <w:lang w:val="id-ID"/>
        </w:rPr>
      </w:pPr>
      <w:r>
        <w:rPr>
          <w:rStyle w:val="FootnoteReference"/>
        </w:rPr>
        <w:footnoteRef/>
      </w:r>
      <w:r>
        <w:t xml:space="preserve"> </w:t>
      </w:r>
      <w:r w:rsidR="00DB5B2A">
        <w:rPr>
          <w:lang w:val="id-ID"/>
        </w:rPr>
        <w:t xml:space="preserve">Al-Qusyairi, </w:t>
      </w:r>
      <w:r w:rsidRPr="00DB5B2A">
        <w:rPr>
          <w:i/>
          <w:iCs/>
          <w:lang w:val="id-ID"/>
        </w:rPr>
        <w:t>Lathaif al-Isyarah</w:t>
      </w:r>
      <w:r>
        <w:rPr>
          <w:lang w:val="id-ID"/>
        </w:rPr>
        <w:t>; 424</w:t>
      </w:r>
    </w:p>
  </w:footnote>
  <w:footnote w:id="16">
    <w:p w:rsidR="009E35A3" w:rsidRPr="009E35A3" w:rsidRDefault="009E35A3" w:rsidP="006C7CCC">
      <w:pPr>
        <w:pStyle w:val="FootnoteText"/>
        <w:tabs>
          <w:tab w:val="left" w:pos="709"/>
        </w:tabs>
        <w:ind w:firstLine="720"/>
        <w:jc w:val="both"/>
        <w:rPr>
          <w:lang w:val="id-ID"/>
        </w:rPr>
      </w:pPr>
      <w:r>
        <w:rPr>
          <w:rStyle w:val="FootnoteReference"/>
        </w:rPr>
        <w:footnoteRef/>
      </w:r>
      <w:r w:rsidRPr="00DB5B2A">
        <w:rPr>
          <w:lang w:val="id-ID"/>
        </w:rPr>
        <w:t xml:space="preserve"> </w:t>
      </w:r>
      <w:r w:rsidR="00DB5B2A">
        <w:rPr>
          <w:lang w:val="id-ID"/>
        </w:rPr>
        <w:t xml:space="preserve">Ali Iyazi, </w:t>
      </w:r>
      <w:r w:rsidRPr="00DB5B2A">
        <w:rPr>
          <w:i/>
          <w:iCs/>
          <w:lang w:val="id-ID"/>
        </w:rPr>
        <w:t xml:space="preserve">Al-Mufassirun hayatuhum wa manhajuhum, </w:t>
      </w:r>
      <w:r>
        <w:rPr>
          <w:lang w:val="id-ID"/>
        </w:rPr>
        <w:t xml:space="preserve">; </w:t>
      </w:r>
      <w:r w:rsidR="00DB5B2A">
        <w:rPr>
          <w:lang w:val="id-ID"/>
        </w:rPr>
        <w:t xml:space="preserve"> (Muassasah al-Thiba’ah wa al-Nasyr Wujarat al-Tsaqafah wa al-Irsyad al-Islamiy, 1313 H), hal </w:t>
      </w:r>
      <w:r>
        <w:rPr>
          <w:lang w:val="id-ID"/>
        </w:rPr>
        <w:t>606</w:t>
      </w:r>
    </w:p>
  </w:footnote>
  <w:footnote w:id="17">
    <w:p w:rsidR="002365F3" w:rsidRPr="002365F3" w:rsidRDefault="002365F3" w:rsidP="00DB5B2A">
      <w:pPr>
        <w:pStyle w:val="FootnoteText"/>
        <w:ind w:firstLine="720"/>
        <w:jc w:val="both"/>
        <w:rPr>
          <w:lang w:val="id-ID"/>
        </w:rPr>
      </w:pPr>
      <w:r>
        <w:rPr>
          <w:rStyle w:val="FootnoteReference"/>
        </w:rPr>
        <w:footnoteRef/>
      </w:r>
      <w:r>
        <w:t xml:space="preserve"> </w:t>
      </w:r>
      <w:r w:rsidR="00DB5B2A">
        <w:rPr>
          <w:lang w:val="id-ID"/>
        </w:rPr>
        <w:t xml:space="preserve">Al-Qusyairi, </w:t>
      </w:r>
      <w:r w:rsidR="00DB5B2A" w:rsidRPr="00DB5B2A">
        <w:rPr>
          <w:i/>
          <w:iCs/>
          <w:lang w:val="id-ID"/>
        </w:rPr>
        <w:t>Lathaif al-Isyarah</w:t>
      </w:r>
      <w:r w:rsidR="00DB5B2A">
        <w:rPr>
          <w:i/>
          <w:iCs/>
          <w:lang w:val="id-ID"/>
        </w:rPr>
        <w:t xml:space="preserve">, </w:t>
      </w:r>
      <w:r>
        <w:rPr>
          <w:lang w:val="id-ID"/>
        </w:rPr>
        <w:t xml:space="preserve"> juz 3 hal 447</w:t>
      </w:r>
    </w:p>
  </w:footnote>
  <w:footnote w:id="18">
    <w:p w:rsidR="002410F3" w:rsidRPr="002410F3" w:rsidRDefault="002410F3" w:rsidP="00DB5B2A">
      <w:pPr>
        <w:pStyle w:val="FootnoteText"/>
        <w:ind w:firstLine="720"/>
        <w:jc w:val="both"/>
        <w:rPr>
          <w:lang w:val="id-ID"/>
        </w:rPr>
      </w:pPr>
      <w:r>
        <w:rPr>
          <w:rStyle w:val="FootnoteReference"/>
        </w:rPr>
        <w:footnoteRef/>
      </w:r>
      <w:r>
        <w:t xml:space="preserve"> </w:t>
      </w:r>
      <w:r w:rsidR="00DB5B2A">
        <w:rPr>
          <w:lang w:val="id-ID"/>
        </w:rPr>
        <w:t xml:space="preserve">Al-Qusyairi, </w:t>
      </w:r>
      <w:r w:rsidR="00DB5B2A" w:rsidRPr="00DB5B2A">
        <w:rPr>
          <w:i/>
          <w:iCs/>
          <w:lang w:val="id-ID"/>
        </w:rPr>
        <w:t>Lathaif al-Isyarah</w:t>
      </w:r>
      <w:r w:rsidR="00DB5B2A">
        <w:rPr>
          <w:i/>
          <w:iCs/>
          <w:lang w:val="id-ID"/>
        </w:rPr>
        <w:t xml:space="preserve">, </w:t>
      </w:r>
      <w:r>
        <w:rPr>
          <w:lang w:val="id-ID"/>
        </w:rPr>
        <w:t xml:space="preserve"> juz 2 hal 454</w:t>
      </w:r>
    </w:p>
  </w:footnote>
  <w:footnote w:id="19">
    <w:p w:rsidR="00FE58F9" w:rsidRPr="00FE58F9" w:rsidRDefault="00FE58F9" w:rsidP="00DB5B2A">
      <w:pPr>
        <w:pStyle w:val="FootnoteText"/>
        <w:ind w:firstLine="720"/>
        <w:jc w:val="both"/>
        <w:rPr>
          <w:lang w:val="id-ID"/>
        </w:rPr>
      </w:pPr>
      <w:r>
        <w:rPr>
          <w:rStyle w:val="FootnoteReference"/>
        </w:rPr>
        <w:footnoteRef/>
      </w:r>
      <w:r>
        <w:t xml:space="preserve"> </w:t>
      </w:r>
      <w:r w:rsidR="00DB5B2A">
        <w:rPr>
          <w:lang w:val="id-ID"/>
        </w:rPr>
        <w:t xml:space="preserve">Ja’far, </w:t>
      </w:r>
      <w:r w:rsidR="00DB5B2A" w:rsidRPr="006C7CCC">
        <w:rPr>
          <w:i/>
          <w:iCs/>
          <w:lang w:val="id-ID"/>
        </w:rPr>
        <w:t>Manahij al-Mufassirin</w:t>
      </w:r>
      <w:r w:rsidR="006C7CCC">
        <w:rPr>
          <w:lang w:val="id-ID"/>
        </w:rPr>
        <w:t>,</w:t>
      </w:r>
      <w:r>
        <w:rPr>
          <w:lang w:val="id-ID"/>
        </w:rPr>
        <w:t xml:space="preserve"> hal 229</w:t>
      </w:r>
    </w:p>
  </w:footnote>
  <w:footnote w:id="20">
    <w:p w:rsidR="006C7CCC" w:rsidRPr="006C7CCC" w:rsidRDefault="006C7CCC" w:rsidP="00DB5B2A">
      <w:pPr>
        <w:pStyle w:val="FootnoteText"/>
        <w:ind w:firstLine="720"/>
        <w:jc w:val="both"/>
        <w:rPr>
          <w:lang w:val="id-ID"/>
        </w:rPr>
      </w:pPr>
      <w:r>
        <w:rPr>
          <w:rStyle w:val="FootnoteReference"/>
        </w:rPr>
        <w:footnoteRef/>
      </w:r>
      <w:r>
        <w:t xml:space="preserve"> </w:t>
      </w:r>
      <w:r w:rsidR="00DB5B2A">
        <w:rPr>
          <w:lang w:val="id-ID"/>
        </w:rPr>
        <w:t xml:space="preserve">Al-Qusyairi, </w:t>
      </w:r>
      <w:r w:rsidR="00DB5B2A" w:rsidRPr="00DB5B2A">
        <w:rPr>
          <w:i/>
          <w:iCs/>
          <w:lang w:val="id-ID"/>
        </w:rPr>
        <w:t>Lathaif al-Isyarah</w:t>
      </w:r>
      <w:r>
        <w:rPr>
          <w:lang w:val="id-ID"/>
        </w:rPr>
        <w:t>, juz 2 hal 199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862"/>
    <w:multiLevelType w:val="multilevel"/>
    <w:tmpl w:val="8E5016AE"/>
    <w:lvl w:ilvl="0">
      <w:start w:val="1"/>
      <w:numFmt w:val="decimal"/>
      <w:lvlText w:val="%1."/>
      <w:lvlJc w:val="left"/>
      <w:pPr>
        <w:ind w:left="720" w:hanging="360"/>
      </w:pPr>
      <w:rPr>
        <w:rFonts w:asciiTheme="majorBidi" w:hAnsiTheme="majorBidi" w:cstheme="majorBidi" w:hint="default"/>
        <w:sz w:val="24"/>
        <w:szCs w:val="24"/>
      </w:r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D45876"/>
    <w:multiLevelType w:val="multilevel"/>
    <w:tmpl w:val="95009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0A67C0"/>
    <w:multiLevelType w:val="hybridMultilevel"/>
    <w:tmpl w:val="F13C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04398"/>
    <w:multiLevelType w:val="multilevel"/>
    <w:tmpl w:val="CE181B42"/>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BEB2933"/>
    <w:multiLevelType w:val="hybridMultilevel"/>
    <w:tmpl w:val="94C8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60D37"/>
    <w:multiLevelType w:val="multilevel"/>
    <w:tmpl w:val="B21AFD1E"/>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CF"/>
    <w:rsid w:val="00007DB4"/>
    <w:rsid w:val="0001225B"/>
    <w:rsid w:val="0001277E"/>
    <w:rsid w:val="00023D84"/>
    <w:rsid w:val="000362E6"/>
    <w:rsid w:val="00050895"/>
    <w:rsid w:val="00087B1E"/>
    <w:rsid w:val="000B0F3F"/>
    <w:rsid w:val="000C1479"/>
    <w:rsid w:val="000C787C"/>
    <w:rsid w:val="000D066A"/>
    <w:rsid w:val="00102344"/>
    <w:rsid w:val="001159FB"/>
    <w:rsid w:val="00142908"/>
    <w:rsid w:val="00156C74"/>
    <w:rsid w:val="0018517C"/>
    <w:rsid w:val="001B0383"/>
    <w:rsid w:val="001C41C4"/>
    <w:rsid w:val="001D1033"/>
    <w:rsid w:val="001D65AC"/>
    <w:rsid w:val="00230941"/>
    <w:rsid w:val="00234202"/>
    <w:rsid w:val="00235C71"/>
    <w:rsid w:val="002365F3"/>
    <w:rsid w:val="002410F3"/>
    <w:rsid w:val="002576EF"/>
    <w:rsid w:val="00260065"/>
    <w:rsid w:val="00276F28"/>
    <w:rsid w:val="002778D6"/>
    <w:rsid w:val="00281DB9"/>
    <w:rsid w:val="002825F1"/>
    <w:rsid w:val="002828C3"/>
    <w:rsid w:val="00291EA7"/>
    <w:rsid w:val="002A4603"/>
    <w:rsid w:val="002B00FC"/>
    <w:rsid w:val="002C2398"/>
    <w:rsid w:val="002D161C"/>
    <w:rsid w:val="002D201A"/>
    <w:rsid w:val="002D7205"/>
    <w:rsid w:val="00326BB6"/>
    <w:rsid w:val="0034102A"/>
    <w:rsid w:val="003535EC"/>
    <w:rsid w:val="00365889"/>
    <w:rsid w:val="00367AD2"/>
    <w:rsid w:val="00375AA5"/>
    <w:rsid w:val="003800E7"/>
    <w:rsid w:val="00393810"/>
    <w:rsid w:val="003B0E98"/>
    <w:rsid w:val="003E2E94"/>
    <w:rsid w:val="003E724E"/>
    <w:rsid w:val="00403E57"/>
    <w:rsid w:val="00412573"/>
    <w:rsid w:val="0044197E"/>
    <w:rsid w:val="00466F65"/>
    <w:rsid w:val="004740CB"/>
    <w:rsid w:val="0048083C"/>
    <w:rsid w:val="00495689"/>
    <w:rsid w:val="00497AA2"/>
    <w:rsid w:val="004C1798"/>
    <w:rsid w:val="004C32DE"/>
    <w:rsid w:val="004D59B9"/>
    <w:rsid w:val="004E38BB"/>
    <w:rsid w:val="004F3E05"/>
    <w:rsid w:val="004F3FB3"/>
    <w:rsid w:val="0051561C"/>
    <w:rsid w:val="00524C9E"/>
    <w:rsid w:val="00530451"/>
    <w:rsid w:val="00531C6B"/>
    <w:rsid w:val="0054070E"/>
    <w:rsid w:val="0058314E"/>
    <w:rsid w:val="005931F1"/>
    <w:rsid w:val="005A13C9"/>
    <w:rsid w:val="005B75E3"/>
    <w:rsid w:val="005C70CF"/>
    <w:rsid w:val="005C7598"/>
    <w:rsid w:val="0060120A"/>
    <w:rsid w:val="006050E7"/>
    <w:rsid w:val="00611AE2"/>
    <w:rsid w:val="00623A7C"/>
    <w:rsid w:val="00632E96"/>
    <w:rsid w:val="00650201"/>
    <w:rsid w:val="006672CC"/>
    <w:rsid w:val="006753C6"/>
    <w:rsid w:val="00691C84"/>
    <w:rsid w:val="006A5348"/>
    <w:rsid w:val="006B323E"/>
    <w:rsid w:val="006C7CCC"/>
    <w:rsid w:val="006D728F"/>
    <w:rsid w:val="006E0D81"/>
    <w:rsid w:val="006E2F50"/>
    <w:rsid w:val="006F06ED"/>
    <w:rsid w:val="006F152F"/>
    <w:rsid w:val="00754269"/>
    <w:rsid w:val="0075463F"/>
    <w:rsid w:val="007620B5"/>
    <w:rsid w:val="00776500"/>
    <w:rsid w:val="007A1606"/>
    <w:rsid w:val="008151BC"/>
    <w:rsid w:val="00840151"/>
    <w:rsid w:val="0086362A"/>
    <w:rsid w:val="00890620"/>
    <w:rsid w:val="00894409"/>
    <w:rsid w:val="008A24F4"/>
    <w:rsid w:val="008A3F78"/>
    <w:rsid w:val="008C1CDA"/>
    <w:rsid w:val="008C313C"/>
    <w:rsid w:val="008C5AB1"/>
    <w:rsid w:val="008C5FE4"/>
    <w:rsid w:val="008E7434"/>
    <w:rsid w:val="008F3341"/>
    <w:rsid w:val="00900693"/>
    <w:rsid w:val="00937613"/>
    <w:rsid w:val="00952E85"/>
    <w:rsid w:val="009800AF"/>
    <w:rsid w:val="009A5FFF"/>
    <w:rsid w:val="009B51F3"/>
    <w:rsid w:val="009B794C"/>
    <w:rsid w:val="009C0F7A"/>
    <w:rsid w:val="009E35A3"/>
    <w:rsid w:val="00A15ECB"/>
    <w:rsid w:val="00A176BD"/>
    <w:rsid w:val="00A4783E"/>
    <w:rsid w:val="00A65DCD"/>
    <w:rsid w:val="00AA0D91"/>
    <w:rsid w:val="00AF4002"/>
    <w:rsid w:val="00B20791"/>
    <w:rsid w:val="00B37632"/>
    <w:rsid w:val="00B536EA"/>
    <w:rsid w:val="00BA43FC"/>
    <w:rsid w:val="00BD078D"/>
    <w:rsid w:val="00BD4B5E"/>
    <w:rsid w:val="00BD7FBB"/>
    <w:rsid w:val="00BE231C"/>
    <w:rsid w:val="00BE60DA"/>
    <w:rsid w:val="00BF0767"/>
    <w:rsid w:val="00CA3557"/>
    <w:rsid w:val="00CA7089"/>
    <w:rsid w:val="00CC2ADD"/>
    <w:rsid w:val="00D00031"/>
    <w:rsid w:val="00D24776"/>
    <w:rsid w:val="00D33E31"/>
    <w:rsid w:val="00D53C14"/>
    <w:rsid w:val="00D64545"/>
    <w:rsid w:val="00D66787"/>
    <w:rsid w:val="00D82915"/>
    <w:rsid w:val="00D95B56"/>
    <w:rsid w:val="00DB42B5"/>
    <w:rsid w:val="00DB5B2A"/>
    <w:rsid w:val="00DD5125"/>
    <w:rsid w:val="00DF22A7"/>
    <w:rsid w:val="00DF3CC2"/>
    <w:rsid w:val="00E20327"/>
    <w:rsid w:val="00E36622"/>
    <w:rsid w:val="00E410BB"/>
    <w:rsid w:val="00E434A4"/>
    <w:rsid w:val="00E455FC"/>
    <w:rsid w:val="00E60F8F"/>
    <w:rsid w:val="00E65B4A"/>
    <w:rsid w:val="00ED2E24"/>
    <w:rsid w:val="00ED4904"/>
    <w:rsid w:val="00F424F7"/>
    <w:rsid w:val="00F448A6"/>
    <w:rsid w:val="00F60831"/>
    <w:rsid w:val="00F854E3"/>
    <w:rsid w:val="00FA5C1F"/>
    <w:rsid w:val="00FB371F"/>
    <w:rsid w:val="00FD0D41"/>
    <w:rsid w:val="00FD6DC1"/>
    <w:rsid w:val="00FE5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5AFD3-6F92-429E-A36A-0D136620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0CF"/>
    <w:rPr>
      <w:color w:val="0000FF" w:themeColor="hyperlink"/>
      <w:u w:val="single"/>
    </w:rPr>
  </w:style>
  <w:style w:type="paragraph" w:styleId="ListParagraph">
    <w:name w:val="List Paragraph"/>
    <w:basedOn w:val="Normal"/>
    <w:uiPriority w:val="34"/>
    <w:qFormat/>
    <w:rsid w:val="00276F28"/>
    <w:pPr>
      <w:ind w:left="720"/>
      <w:contextualSpacing/>
    </w:pPr>
  </w:style>
  <w:style w:type="paragraph" w:styleId="FootnoteText">
    <w:name w:val="footnote text"/>
    <w:basedOn w:val="Normal"/>
    <w:link w:val="FootnoteTextChar"/>
    <w:uiPriority w:val="99"/>
    <w:unhideWhenUsed/>
    <w:rsid w:val="002D161C"/>
    <w:pPr>
      <w:spacing w:after="0" w:line="240" w:lineRule="auto"/>
    </w:pPr>
    <w:rPr>
      <w:sz w:val="20"/>
      <w:szCs w:val="20"/>
    </w:rPr>
  </w:style>
  <w:style w:type="character" w:customStyle="1" w:styleId="FootnoteTextChar">
    <w:name w:val="Footnote Text Char"/>
    <w:basedOn w:val="DefaultParagraphFont"/>
    <w:link w:val="FootnoteText"/>
    <w:uiPriority w:val="99"/>
    <w:rsid w:val="002D161C"/>
    <w:rPr>
      <w:sz w:val="20"/>
      <w:szCs w:val="20"/>
    </w:rPr>
  </w:style>
  <w:style w:type="character" w:styleId="FootnoteReference">
    <w:name w:val="footnote reference"/>
    <w:basedOn w:val="DefaultParagraphFont"/>
    <w:uiPriority w:val="99"/>
    <w:semiHidden/>
    <w:unhideWhenUsed/>
    <w:rsid w:val="002D161C"/>
    <w:rPr>
      <w:vertAlign w:val="superscript"/>
    </w:rPr>
  </w:style>
  <w:style w:type="paragraph" w:styleId="BalloonText">
    <w:name w:val="Balloon Text"/>
    <w:basedOn w:val="Normal"/>
    <w:link w:val="BalloonTextChar"/>
    <w:uiPriority w:val="99"/>
    <w:semiHidden/>
    <w:unhideWhenUsed/>
    <w:rsid w:val="0041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FFB3-CC37-4901-BC36-24DCA956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12</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106</cp:revision>
  <dcterms:created xsi:type="dcterms:W3CDTF">2020-12-17T04:12:00Z</dcterms:created>
  <dcterms:modified xsi:type="dcterms:W3CDTF">2020-12-20T23:42:00Z</dcterms:modified>
</cp:coreProperties>
</file>